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ind w:left="0" w:leftChars="0" w:firstLine="0" w:firstLineChars="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3</w:t>
      </w:r>
    </w:p>
    <w:p>
      <w:pPr>
        <w:spacing w:line="590" w:lineRule="exact"/>
        <w:jc w:val="center"/>
        <w:rPr>
          <w:rFonts w:hint="eastAsia" w:ascii="方正小标宋_GBK" w:eastAsia="方正小标宋_GBK" w:cs="Calibri"/>
          <w:sz w:val="44"/>
          <w:szCs w:val="32"/>
        </w:rPr>
      </w:pPr>
      <w:r>
        <w:rPr>
          <w:rFonts w:hint="eastAsia" w:ascii="方正小标宋_GBK" w:eastAsia="方正小标宋_GBK" w:cs="Calibri"/>
          <w:sz w:val="44"/>
          <w:szCs w:val="32"/>
        </w:rPr>
        <w:t>吴江区关于建设项目环境影响评价与</w:t>
      </w:r>
    </w:p>
    <w:p>
      <w:pPr>
        <w:spacing w:line="590" w:lineRule="exact"/>
        <w:jc w:val="center"/>
        <w:rPr>
          <w:rFonts w:hint="eastAsia" w:ascii="方正小标宋_GBK" w:eastAsia="方正小标宋_GBK" w:cs="Calibri"/>
          <w:sz w:val="44"/>
          <w:szCs w:val="32"/>
        </w:rPr>
      </w:pPr>
      <w:r>
        <w:rPr>
          <w:rFonts w:hint="eastAsia" w:ascii="方正小标宋_GBK" w:eastAsia="方正小标宋_GBK" w:cs="Calibri"/>
          <w:sz w:val="44"/>
          <w:szCs w:val="32"/>
        </w:rPr>
        <w:t>固定污染源排</w:t>
      </w:r>
      <w:bookmarkStart w:id="0" w:name="_GoBack"/>
      <w:bookmarkEnd w:id="0"/>
      <w:r>
        <w:rPr>
          <w:rFonts w:hint="eastAsia" w:ascii="方正小标宋_GBK" w:eastAsia="方正小标宋_GBK" w:cs="Calibri"/>
          <w:sz w:val="44"/>
          <w:szCs w:val="32"/>
        </w:rPr>
        <w:t>污许可“两证联办”</w:t>
      </w:r>
    </w:p>
    <w:p>
      <w:pPr>
        <w:spacing w:line="590" w:lineRule="exact"/>
        <w:jc w:val="center"/>
        <w:rPr>
          <w:rFonts w:hint="eastAsia" w:ascii="方正小标宋_GBK" w:eastAsia="方正小标宋_GBK" w:cs="Calibri"/>
          <w:sz w:val="44"/>
          <w:szCs w:val="32"/>
        </w:rPr>
      </w:pPr>
      <w:r>
        <w:rPr>
          <w:rFonts w:hint="eastAsia" w:ascii="方正小标宋_GBK" w:eastAsia="方正小标宋_GBK" w:cs="Calibri"/>
          <w:sz w:val="44"/>
          <w:szCs w:val="32"/>
        </w:rPr>
        <w:t>的实施细则（试行）</w:t>
      </w:r>
    </w:p>
    <w:p>
      <w:pPr>
        <w:keepNext w:val="0"/>
        <w:keepLines w:val="0"/>
        <w:pageBreakBefore w:val="0"/>
        <w:widowControl/>
        <w:kinsoku/>
        <w:wordWrap/>
        <w:overflowPunct/>
        <w:topLinePunct w:val="0"/>
        <w:autoSpaceDE/>
        <w:autoSpaceDN/>
        <w:bidi w:val="0"/>
        <w:spacing w:line="579" w:lineRule="exact"/>
        <w:ind w:firstLine="640" w:firstLineChars="200"/>
        <w:jc w:val="left"/>
        <w:textAlignment w:val="auto"/>
        <w:rPr>
          <w:rFonts w:hint="eastAsia" w:ascii="仿宋_GB2312" w:hAnsi="仿宋_GB2312" w:eastAsia="仿宋_GB2312" w:cs="仿宋_GB2312"/>
          <w:color w:val="auto"/>
          <w:sz w:val="32"/>
          <w:szCs w:val="32"/>
        </w:rPr>
      </w:pPr>
    </w:p>
    <w:p>
      <w:pPr>
        <w:keepNext w:val="0"/>
        <w:keepLines w:val="0"/>
        <w:pageBreakBefore w:val="0"/>
        <w:widowControl/>
        <w:kinsoku/>
        <w:wordWrap/>
        <w:overflowPunct/>
        <w:topLinePunct w:val="0"/>
        <w:autoSpaceDE/>
        <w:autoSpaceDN/>
        <w:bidi w:val="0"/>
        <w:spacing w:line="579"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为深入落实长三角一体化发展国家战略，贯彻落实国家、省、市“放管服”改革决策部署，推进对</w:t>
      </w:r>
      <w:r>
        <w:rPr>
          <w:rFonts w:hint="default" w:ascii="仿宋_GB2312" w:hAnsi="仿宋_GB2312" w:eastAsia="仿宋_GB2312" w:cs="仿宋_GB2312"/>
          <w:color w:val="auto"/>
          <w:sz w:val="32"/>
          <w:szCs w:val="32"/>
          <w:lang w:val="en-US"/>
        </w:rPr>
        <w:t>建设项目环评与</w:t>
      </w:r>
      <w:r>
        <w:rPr>
          <w:rFonts w:hint="eastAsia" w:ascii="仿宋_GB2312" w:hAnsi="仿宋_GB2312" w:eastAsia="仿宋_GB2312" w:cs="仿宋_GB2312"/>
          <w:color w:val="auto"/>
          <w:sz w:val="32"/>
          <w:szCs w:val="32"/>
        </w:rPr>
        <w:t>固定污染源排污许可两</w:t>
      </w:r>
      <w:r>
        <w:rPr>
          <w:rFonts w:hint="default" w:ascii="仿宋_GB2312" w:hAnsi="仿宋_GB2312" w:eastAsia="仿宋_GB2312" w:cs="仿宋_GB2312"/>
          <w:color w:val="auto"/>
          <w:sz w:val="32"/>
          <w:szCs w:val="32"/>
          <w:lang w:val="en-US"/>
        </w:rPr>
        <w:t>个行政许可事项</w:t>
      </w:r>
      <w:r>
        <w:rPr>
          <w:rFonts w:hint="eastAsia" w:ascii="仿宋_GB2312" w:hAnsi="仿宋_GB2312" w:eastAsia="仿宋_GB2312" w:cs="仿宋_GB2312"/>
          <w:color w:val="auto"/>
          <w:sz w:val="32"/>
          <w:szCs w:val="32"/>
        </w:rPr>
        <w:t>的集成融合，实行一链式高效审批，积极助推我区绿色高质量发展，根据《浙江省生态环境厅</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上海市生态环境局</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江苏省生态环境厅长三角生态绿色一体化发展示范区执行委员会关于深化长三角生态绿色一体化发展示范区环评制度改革的指导意见（试行）》（浙环函</w:t>
      </w:r>
      <w:r>
        <w:rPr>
          <w:rFonts w:hint="eastAsia" w:ascii="仿宋_GB2312" w:hAnsi="仿宋_GB2312" w:eastAsia="仿宋_GB2312" w:cs="仿宋_GB2312"/>
          <w:color w:val="auto"/>
          <w:spacing w:val="-6"/>
          <w:sz w:val="32"/>
          <w:szCs w:val="32"/>
        </w:rPr>
        <w:t>〔2021〕</w:t>
      </w:r>
      <w:r>
        <w:rPr>
          <w:rFonts w:hint="eastAsia" w:ascii="仿宋_GB2312" w:hAnsi="仿宋_GB2312" w:eastAsia="仿宋_GB2312" w:cs="仿宋_GB2312"/>
          <w:color w:val="auto"/>
          <w:sz w:val="32"/>
          <w:szCs w:val="32"/>
        </w:rPr>
        <w:t>260号），结合我区实际，制定本细则：</w:t>
      </w:r>
    </w:p>
    <w:p>
      <w:pPr>
        <w:keepNext w:val="0"/>
        <w:keepLines w:val="0"/>
        <w:pageBreakBefore w:val="0"/>
        <w:numPr>
          <w:ilvl w:val="0"/>
          <w:numId w:val="1"/>
        </w:numPr>
        <w:kinsoku/>
        <w:wordWrap/>
        <w:overflowPunct/>
        <w:topLinePunct w:val="0"/>
        <w:autoSpaceDE/>
        <w:autoSpaceDN/>
        <w:bidi w:val="0"/>
        <w:spacing w:line="579" w:lineRule="exact"/>
        <w:ind w:firstLine="704" w:firstLineChars="220"/>
        <w:jc w:val="both"/>
        <w:textAlignment w:val="auto"/>
        <w:rPr>
          <w:rFonts w:ascii="黑体" w:hAnsi="黑体" w:eastAsia="黑体" w:cs="黑体"/>
          <w:color w:val="auto"/>
          <w:sz w:val="32"/>
          <w:szCs w:val="32"/>
        </w:rPr>
      </w:pPr>
      <w:r>
        <w:rPr>
          <w:rFonts w:hint="eastAsia" w:ascii="黑体" w:hAnsi="黑体" w:eastAsia="黑体" w:cs="黑体"/>
          <w:color w:val="auto"/>
          <w:sz w:val="32"/>
          <w:szCs w:val="32"/>
        </w:rPr>
        <w:t>实施内容</w:t>
      </w:r>
    </w:p>
    <w:p>
      <w:pPr>
        <w:keepNext w:val="0"/>
        <w:keepLines w:val="0"/>
        <w:pageBreakBefore w:val="0"/>
        <w:kinsoku/>
        <w:wordWrap/>
        <w:overflowPunct/>
        <w:topLinePunct w:val="0"/>
        <w:autoSpaceDE/>
        <w:autoSpaceDN/>
        <w:bidi w:val="0"/>
        <w:spacing w:line="579" w:lineRule="exact"/>
        <w:ind w:firstLine="640" w:firstLineChars="200"/>
        <w:jc w:val="both"/>
        <w:textAlignment w:val="auto"/>
        <w:rPr>
          <w:rFonts w:ascii="黑体" w:hAnsi="黑体" w:eastAsia="黑体" w:cs="黑体"/>
          <w:b/>
          <w:color w:val="auto"/>
          <w:sz w:val="32"/>
          <w:szCs w:val="32"/>
        </w:rPr>
      </w:pPr>
      <w:r>
        <w:rPr>
          <w:rFonts w:hint="eastAsia" w:ascii="仿宋_GB2312" w:hAnsi="仿宋_GB2312" w:eastAsia="仿宋_GB2312" w:cs="仿宋_GB2312"/>
          <w:color w:val="auto"/>
          <w:sz w:val="32"/>
          <w:szCs w:val="32"/>
        </w:rPr>
        <w:t>建设单位在办理</w:t>
      </w:r>
      <w:r>
        <w:rPr>
          <w:rFonts w:hint="default" w:ascii="仿宋_GB2312" w:hAnsi="仿宋_GB2312" w:eastAsia="仿宋_GB2312" w:cs="仿宋_GB2312"/>
          <w:color w:val="auto"/>
          <w:sz w:val="32"/>
          <w:szCs w:val="32"/>
          <w:lang w:val="en-US"/>
        </w:rPr>
        <w:t>建设</w:t>
      </w:r>
      <w:r>
        <w:rPr>
          <w:rFonts w:hint="eastAsia" w:ascii="仿宋_GB2312" w:hAnsi="仿宋_GB2312" w:eastAsia="仿宋_GB2312" w:cs="仿宋_GB2312"/>
          <w:color w:val="auto"/>
          <w:sz w:val="32"/>
          <w:szCs w:val="32"/>
        </w:rPr>
        <w:t>项目环评审批的同时，可以同步申领（变更/重新申请）排污许可证，实现两个行政许可事项“一套材料、一口受理、</w:t>
      </w:r>
      <w:r>
        <w:rPr>
          <w:rFonts w:hint="default" w:ascii="仿宋_GB2312" w:hAnsi="仿宋_GB2312" w:eastAsia="仿宋_GB2312" w:cs="仿宋_GB2312"/>
          <w:color w:val="auto"/>
          <w:sz w:val="32"/>
          <w:szCs w:val="32"/>
          <w:lang w:val="en-US"/>
        </w:rPr>
        <w:t>一</w:t>
      </w:r>
      <w:r>
        <w:rPr>
          <w:rFonts w:hint="eastAsia" w:ascii="仿宋_GB2312" w:hAnsi="仿宋_GB2312" w:eastAsia="仿宋_GB2312" w:cs="仿宋_GB2312"/>
          <w:color w:val="auto"/>
          <w:sz w:val="32"/>
          <w:szCs w:val="32"/>
        </w:rPr>
        <w:t>同审批”的管理新模式。</w:t>
      </w:r>
    </w:p>
    <w:p>
      <w:pPr>
        <w:keepNext w:val="0"/>
        <w:keepLines w:val="0"/>
        <w:pageBreakBefore w:val="0"/>
        <w:numPr>
          <w:ilvl w:val="0"/>
          <w:numId w:val="1"/>
        </w:numPr>
        <w:kinsoku/>
        <w:wordWrap/>
        <w:overflowPunct/>
        <w:topLinePunct w:val="0"/>
        <w:autoSpaceDE/>
        <w:autoSpaceDN/>
        <w:bidi w:val="0"/>
        <w:spacing w:line="579" w:lineRule="exact"/>
        <w:ind w:firstLine="704" w:firstLineChars="220"/>
        <w:jc w:val="both"/>
        <w:textAlignment w:val="auto"/>
        <w:rPr>
          <w:rFonts w:ascii="黑体" w:hAnsi="黑体" w:eastAsia="黑体" w:cs="黑体"/>
          <w:color w:val="auto"/>
          <w:sz w:val="32"/>
          <w:szCs w:val="32"/>
        </w:rPr>
      </w:pPr>
      <w:r>
        <w:rPr>
          <w:rFonts w:hint="eastAsia" w:ascii="黑体" w:hAnsi="黑体" w:eastAsia="黑体" w:cs="黑体"/>
          <w:color w:val="auto"/>
          <w:sz w:val="32"/>
          <w:szCs w:val="32"/>
        </w:rPr>
        <w:t>实施范围</w:t>
      </w:r>
    </w:p>
    <w:p>
      <w:pPr>
        <w:keepNext w:val="0"/>
        <w:keepLines w:val="0"/>
        <w:pageBreakBefore w:val="0"/>
        <w:widowControl/>
        <w:kinsoku/>
        <w:wordWrap/>
        <w:overflowPunct/>
        <w:topLinePunct w:val="0"/>
        <w:autoSpaceDE/>
        <w:autoSpaceDN/>
        <w:bidi w:val="0"/>
        <w:spacing w:line="579" w:lineRule="exact"/>
        <w:ind w:left="-2" w:leftChars="-1" w:firstLine="640" w:firstLineChars="200"/>
        <w:jc w:val="both"/>
        <w:textAlignment w:val="auto"/>
        <w:rPr>
          <w:rFonts w:ascii="楷体_GB2312" w:hAnsi="楷体_GB2312" w:eastAsia="楷体_GB2312" w:cs="楷体_GB2312"/>
          <w:color w:val="auto"/>
          <w:sz w:val="32"/>
          <w:szCs w:val="32"/>
        </w:rPr>
      </w:pPr>
      <w:r>
        <w:rPr>
          <w:rFonts w:hint="eastAsia" w:ascii="仿宋_GB2312" w:hAnsi="仿宋_GB2312" w:eastAsia="仿宋_GB2312" w:cs="仿宋_GB2312"/>
          <w:color w:val="auto"/>
          <w:sz w:val="32"/>
          <w:szCs w:val="32"/>
        </w:rPr>
        <w:t>吴江辖区范围内，按照《建设项目环境影响评价分类管理名录（2</w:t>
      </w:r>
      <w:r>
        <w:rPr>
          <w:rFonts w:ascii="仿宋_GB2312" w:hAnsi="仿宋_GB2312" w:eastAsia="仿宋_GB2312" w:cs="仿宋_GB2312"/>
          <w:color w:val="auto"/>
          <w:sz w:val="32"/>
          <w:szCs w:val="32"/>
        </w:rPr>
        <w:t>021</w:t>
      </w:r>
      <w:r>
        <w:rPr>
          <w:rFonts w:hint="eastAsia" w:ascii="仿宋_GB2312" w:hAnsi="仿宋_GB2312" w:eastAsia="仿宋_GB2312" w:cs="仿宋_GB2312"/>
          <w:color w:val="auto"/>
          <w:sz w:val="32"/>
          <w:szCs w:val="32"/>
        </w:rPr>
        <w:t>年版）》需要编制环境影响报告书（表）</w:t>
      </w:r>
      <w:r>
        <w:rPr>
          <w:rFonts w:hint="eastAsia" w:ascii="仿宋_GB2312" w:hAnsi="仿宋_GB2312" w:eastAsia="仿宋_GB2312" w:cs="仿宋_GB2312"/>
          <w:color w:val="auto"/>
          <w:sz w:val="32"/>
          <w:szCs w:val="32"/>
          <w:lang w:eastAsia="zh-CN"/>
        </w:rPr>
        <w:t>（浙环函〔2021〕260号文中实行豁免环评管理的按照豁免后的要求执行）</w:t>
      </w:r>
      <w:r>
        <w:rPr>
          <w:rFonts w:hint="eastAsia" w:ascii="仿宋_GB2312" w:hAnsi="仿宋_GB2312" w:eastAsia="仿宋_GB2312" w:cs="仿宋_GB2312"/>
          <w:color w:val="auto"/>
          <w:sz w:val="32"/>
          <w:szCs w:val="32"/>
        </w:rPr>
        <w:t>同时又纳入《固定污染源排污许可分类管理名录（2</w:t>
      </w:r>
      <w:r>
        <w:rPr>
          <w:rFonts w:ascii="仿宋_GB2312" w:hAnsi="仿宋_GB2312" w:eastAsia="仿宋_GB2312" w:cs="仿宋_GB2312"/>
          <w:color w:val="auto"/>
          <w:sz w:val="32"/>
          <w:szCs w:val="32"/>
        </w:rPr>
        <w:t>019</w:t>
      </w:r>
      <w:r>
        <w:rPr>
          <w:rFonts w:hint="eastAsia" w:ascii="仿宋_GB2312" w:hAnsi="仿宋_GB2312" w:eastAsia="仿宋_GB2312" w:cs="仿宋_GB2312"/>
          <w:color w:val="auto"/>
          <w:sz w:val="32"/>
          <w:szCs w:val="32"/>
        </w:rPr>
        <w:t>年版）》的建设项目。</w:t>
      </w:r>
    </w:p>
    <w:p>
      <w:pPr>
        <w:keepNext w:val="0"/>
        <w:keepLines w:val="0"/>
        <w:pageBreakBefore w:val="0"/>
        <w:kinsoku/>
        <w:wordWrap/>
        <w:overflowPunct/>
        <w:topLinePunct w:val="0"/>
        <w:autoSpaceDE/>
        <w:autoSpaceDN/>
        <w:bidi w:val="0"/>
        <w:spacing w:line="579" w:lineRule="exact"/>
        <w:ind w:left="707"/>
        <w:jc w:val="both"/>
        <w:textAlignment w:val="auto"/>
        <w:rPr>
          <w:rFonts w:ascii="黑体" w:hAnsi="黑体" w:eastAsia="黑体" w:cs="黑体"/>
          <w:b/>
          <w:color w:val="auto"/>
          <w:sz w:val="32"/>
          <w:szCs w:val="32"/>
        </w:rPr>
      </w:pPr>
      <w:r>
        <w:rPr>
          <w:rFonts w:hint="eastAsia" w:ascii="黑体" w:hAnsi="黑体" w:eastAsia="黑体" w:cs="黑体"/>
          <w:color w:val="auto"/>
          <w:sz w:val="32"/>
          <w:szCs w:val="32"/>
        </w:rPr>
        <w:t>三、实施期限</w:t>
      </w:r>
    </w:p>
    <w:p>
      <w:pPr>
        <w:keepNext w:val="0"/>
        <w:keepLines w:val="0"/>
        <w:pageBreakBefore w:val="0"/>
        <w:kinsoku/>
        <w:wordWrap/>
        <w:overflowPunct/>
        <w:topLinePunct w:val="0"/>
        <w:autoSpaceDE/>
        <w:autoSpaceDN/>
        <w:bidi w:val="0"/>
        <w:spacing w:line="579" w:lineRule="exact"/>
        <w:ind w:left="-65" w:leftChars="-31"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本细则试行时间自</w:t>
      </w:r>
      <w:r>
        <w:rPr>
          <w:rFonts w:hint="eastAsia" w:ascii="仿宋_GB2312" w:hAnsi="仿宋_GB2312" w:eastAsia="仿宋_GB2312" w:cs="仿宋_GB2312"/>
          <w:color w:val="auto"/>
          <w:sz w:val="32"/>
          <w:szCs w:val="32"/>
          <w:lang w:val="en-US" w:eastAsia="zh-CN"/>
        </w:rPr>
        <w:t>发布之日起</w:t>
      </w:r>
      <w:r>
        <w:rPr>
          <w:rFonts w:hint="eastAsia" w:ascii="仿宋_GB2312" w:hAnsi="仿宋_GB2312" w:eastAsia="仿宋_GB2312" w:cs="仿宋_GB2312"/>
          <w:color w:val="auto"/>
          <w:sz w:val="32"/>
          <w:szCs w:val="32"/>
        </w:rPr>
        <w:t>，至2023年11月14日止。本细则试行期间，国家、省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市</w:t>
      </w:r>
      <w:r>
        <w:rPr>
          <w:rFonts w:hint="eastAsia" w:ascii="仿宋_GB2312" w:hAnsi="仿宋_GB2312" w:eastAsia="仿宋_GB2312" w:cs="仿宋_GB2312"/>
          <w:color w:val="auto"/>
          <w:sz w:val="32"/>
          <w:szCs w:val="32"/>
        </w:rPr>
        <w:t>如出台或调整相关法律、法规和文件规定，从其规定。</w:t>
      </w:r>
    </w:p>
    <w:p>
      <w:pPr>
        <w:keepNext w:val="0"/>
        <w:keepLines w:val="0"/>
        <w:pageBreakBefore w:val="0"/>
        <w:kinsoku/>
        <w:wordWrap/>
        <w:overflowPunct/>
        <w:topLinePunct w:val="0"/>
        <w:autoSpaceDE/>
        <w:autoSpaceDN/>
        <w:bidi w:val="0"/>
        <w:spacing w:line="579" w:lineRule="exact"/>
        <w:ind w:left="707"/>
        <w:jc w:val="both"/>
        <w:textAlignment w:val="auto"/>
        <w:rPr>
          <w:rFonts w:ascii="黑体" w:hAnsi="黑体" w:eastAsia="黑体" w:cs="黑体"/>
          <w:color w:val="auto"/>
          <w:sz w:val="32"/>
          <w:szCs w:val="32"/>
        </w:rPr>
      </w:pPr>
      <w:r>
        <w:rPr>
          <w:rFonts w:hint="eastAsia" w:ascii="黑体" w:hAnsi="黑体" w:eastAsia="黑体" w:cs="黑体"/>
          <w:color w:val="auto"/>
          <w:sz w:val="32"/>
          <w:szCs w:val="32"/>
        </w:rPr>
        <w:t>四、办理程序</w:t>
      </w:r>
    </w:p>
    <w:p>
      <w:pPr>
        <w:keepNext w:val="0"/>
        <w:keepLines w:val="0"/>
        <w:pageBreakBefore w:val="0"/>
        <w:widowControl/>
        <w:kinsoku/>
        <w:wordWrap/>
        <w:overflowPunct/>
        <w:topLinePunct w:val="0"/>
        <w:autoSpaceDE/>
        <w:autoSpaceDN/>
        <w:bidi w:val="0"/>
        <w:spacing w:line="579" w:lineRule="exact"/>
        <w:ind w:left="-2" w:leftChars="-1"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（一）需要编制环境影响报告书（表），同时纳入《固定污染源排污许可分类管理名录（2</w:t>
      </w:r>
      <w:r>
        <w:rPr>
          <w:rFonts w:ascii="仿宋_GB2312" w:hAnsi="仿宋_GB2312" w:eastAsia="仿宋_GB2312" w:cs="仿宋_GB2312"/>
          <w:color w:val="auto"/>
          <w:sz w:val="32"/>
          <w:szCs w:val="32"/>
        </w:rPr>
        <w:t>019</w:t>
      </w:r>
      <w:r>
        <w:rPr>
          <w:rFonts w:hint="eastAsia" w:ascii="仿宋_GB2312" w:hAnsi="仿宋_GB2312" w:eastAsia="仿宋_GB2312" w:cs="仿宋_GB2312"/>
          <w:color w:val="auto"/>
          <w:sz w:val="32"/>
          <w:szCs w:val="32"/>
        </w:rPr>
        <w:t>年版）》重点或简化管理类别的项目，具体流程办理如下</w:t>
      </w:r>
      <w:r>
        <w:rPr>
          <w:rFonts w:hint="eastAsia" w:ascii="仿宋_GB2312" w:hAnsi="仿宋_GB2312" w:eastAsia="仿宋_GB2312" w:cs="仿宋_GB2312"/>
          <w:color w:val="auto"/>
          <w:sz w:val="32"/>
          <w:szCs w:val="32"/>
          <w:lang w:eastAsia="zh-CN"/>
        </w:rPr>
        <w:t>：</w:t>
      </w:r>
    </w:p>
    <w:p>
      <w:pPr>
        <w:keepNext w:val="0"/>
        <w:keepLines w:val="0"/>
        <w:pageBreakBefore w:val="0"/>
        <w:widowControl/>
        <w:kinsoku/>
        <w:wordWrap/>
        <w:overflowPunct/>
        <w:topLinePunct w:val="0"/>
        <w:autoSpaceDE/>
        <w:autoSpaceDN/>
        <w:bidi w:val="0"/>
        <w:spacing w:line="579"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1.申请。在开工前，申请人将《建设项目环境影响报告书（表）》等要件的电子件及盖章纸质件</w:t>
      </w:r>
      <w:r>
        <w:rPr>
          <w:rFonts w:hint="default" w:ascii="仿宋_GB2312" w:hAnsi="仿宋_GB2312" w:eastAsia="仿宋_GB2312" w:cs="仿宋_GB2312"/>
          <w:color w:val="auto"/>
          <w:sz w:val="32"/>
          <w:szCs w:val="32"/>
          <w:lang w:val="en-US"/>
        </w:rPr>
        <w:t>报</w:t>
      </w:r>
      <w:r>
        <w:rPr>
          <w:rFonts w:hint="eastAsia" w:ascii="仿宋_GB2312" w:hAnsi="仿宋_GB2312" w:eastAsia="仿宋_GB2312" w:cs="仿宋_GB2312"/>
          <w:color w:val="auto"/>
          <w:sz w:val="32"/>
          <w:szCs w:val="32"/>
        </w:rPr>
        <w:t>送</w:t>
      </w:r>
      <w:r>
        <w:rPr>
          <w:rFonts w:hint="eastAsia" w:ascii="仿宋_GB2312" w:hAnsi="仿宋_GB2312" w:eastAsia="仿宋_GB2312" w:cs="仿宋_GB2312"/>
          <w:color w:val="auto"/>
          <w:sz w:val="32"/>
          <w:szCs w:val="32"/>
          <w:lang w:eastAsia="zh-CN"/>
        </w:rPr>
        <w:t>（</w:t>
      </w:r>
      <w:r>
        <w:rPr>
          <w:rFonts w:hint="default" w:ascii="仿宋_GB2312" w:hAnsi="仿宋_GB2312" w:eastAsia="仿宋_GB2312" w:cs="仿宋_GB2312"/>
          <w:color w:val="auto"/>
          <w:sz w:val="32"/>
          <w:szCs w:val="32"/>
          <w:lang w:val="en-US" w:eastAsia="zh-CN"/>
        </w:rPr>
        <w:t>或寄送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生态环境主管部门，同时在“全国排污许可证管理信息平台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企业端”按照要求完成信息的填报和提交。</w:t>
      </w:r>
    </w:p>
    <w:p>
      <w:pPr>
        <w:keepNext w:val="0"/>
        <w:keepLines w:val="0"/>
        <w:pageBreakBefore w:val="0"/>
        <w:widowControl/>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2.受理。申请材料齐全的建设项目，生态环境主管部门对环评和排污许可的申请予以同时受理；申请材料不齐全的，一次性告知建设单位需补正的内容，补正</w:t>
      </w:r>
      <w:r>
        <w:rPr>
          <w:rFonts w:hint="default" w:ascii="仿宋_GB2312" w:hAnsi="仿宋_GB2312" w:eastAsia="仿宋_GB2312" w:cs="仿宋_GB2312"/>
          <w:color w:val="auto"/>
          <w:sz w:val="32"/>
          <w:szCs w:val="32"/>
          <w:lang w:val="en-US"/>
        </w:rPr>
        <w:t>后予以</w:t>
      </w:r>
      <w:r>
        <w:rPr>
          <w:rFonts w:hint="eastAsia" w:ascii="仿宋_GB2312" w:hAnsi="仿宋_GB2312" w:eastAsia="仿宋_GB2312" w:cs="仿宋_GB2312"/>
          <w:color w:val="auto"/>
          <w:sz w:val="32"/>
          <w:szCs w:val="32"/>
        </w:rPr>
        <w:t>受理</w:t>
      </w:r>
      <w:r>
        <w:rPr>
          <w:rFonts w:hint="eastAsia" w:ascii="仿宋_GB2312" w:hAnsi="仿宋_GB2312" w:eastAsia="仿宋_GB2312" w:cs="仿宋_GB2312"/>
          <w:color w:val="auto"/>
          <w:sz w:val="32"/>
          <w:szCs w:val="32"/>
          <w:lang w:eastAsia="zh-CN"/>
        </w:rPr>
        <w:t>。</w:t>
      </w:r>
    </w:p>
    <w:p>
      <w:pPr>
        <w:keepNext w:val="0"/>
        <w:keepLines w:val="0"/>
        <w:pageBreakBefore w:val="0"/>
        <w:widowControl/>
        <w:kinsoku/>
        <w:wordWrap/>
        <w:overflowPunct/>
        <w:topLinePunct w:val="0"/>
        <w:autoSpaceDE/>
        <w:autoSpaceDN/>
        <w:bidi w:val="0"/>
        <w:spacing w:line="579"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3.审核。生态环境主管部门对受理的环评和排污许可申请材料进行同步审核（其中适用于环评告知承诺制</w:t>
      </w:r>
      <w:r>
        <w:rPr>
          <w:rFonts w:hint="eastAsia" w:ascii="仿宋_GB2312" w:hAnsi="仿宋_GB2312" w:eastAsia="仿宋_GB2312" w:cs="仿宋_GB2312"/>
          <w:color w:val="auto"/>
          <w:sz w:val="32"/>
          <w:szCs w:val="32"/>
          <w:lang w:val="en-US" w:eastAsia="zh-CN"/>
        </w:rPr>
        <w:t>审批</w:t>
      </w:r>
      <w:r>
        <w:rPr>
          <w:rFonts w:hint="eastAsia" w:ascii="仿宋_GB2312" w:hAnsi="仿宋_GB2312" w:eastAsia="仿宋_GB2312" w:cs="仿宋_GB2312"/>
          <w:color w:val="auto"/>
          <w:sz w:val="32"/>
          <w:szCs w:val="32"/>
        </w:rPr>
        <w:t>的项目按照</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吴江区关于建设项目环境影响评价告知承诺制审批的实施细则（试行）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中</w:t>
      </w:r>
      <w:r>
        <w:rPr>
          <w:rFonts w:hint="eastAsia" w:ascii="仿宋_GB2312" w:hAnsi="仿宋_GB2312" w:eastAsia="仿宋_GB2312" w:cs="仿宋_GB2312"/>
          <w:color w:val="auto"/>
          <w:sz w:val="32"/>
          <w:szCs w:val="32"/>
          <w:lang w:eastAsia="zh-CN"/>
        </w:rPr>
        <w:t>明确地办理</w:t>
      </w:r>
      <w:r>
        <w:rPr>
          <w:rFonts w:hint="eastAsia" w:ascii="仿宋_GB2312" w:hAnsi="仿宋_GB2312" w:eastAsia="仿宋_GB2312" w:cs="仿宋_GB2312"/>
          <w:color w:val="auto"/>
          <w:sz w:val="32"/>
          <w:szCs w:val="32"/>
        </w:rPr>
        <w:t>程序办理），对于需要开展技术评估的建设项目，生态环境主管部门可委托第三方评估机构开展技术评估。</w:t>
      </w:r>
    </w:p>
    <w:p>
      <w:pPr>
        <w:keepNext w:val="0"/>
        <w:keepLines w:val="0"/>
        <w:pageBreakBefore w:val="0"/>
        <w:widowControl/>
        <w:kinsoku/>
        <w:wordWrap/>
        <w:overflowPunct/>
        <w:topLinePunct w:val="0"/>
        <w:autoSpaceDE/>
        <w:autoSpaceDN/>
        <w:bidi w:val="0"/>
        <w:spacing w:line="579"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4.审批。经审核，符合环评审批要求的，出具环评批复；符合排污许可证核发条件的，予以颁发排污许可证。</w:t>
      </w:r>
    </w:p>
    <w:p>
      <w:pPr>
        <w:keepNext w:val="0"/>
        <w:keepLines w:val="0"/>
        <w:pageBreakBefore w:val="0"/>
        <w:widowControl/>
        <w:kinsoku/>
        <w:wordWrap/>
        <w:overflowPunct/>
        <w:topLinePunct w:val="0"/>
        <w:autoSpaceDE/>
        <w:autoSpaceDN/>
        <w:bidi w:val="0"/>
        <w:spacing w:line="579"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（二）需要编制环境影响报告书（表），同时纳入《固定污染源排污许可分类管理名录（2</w:t>
      </w:r>
      <w:r>
        <w:rPr>
          <w:rFonts w:ascii="仿宋_GB2312" w:hAnsi="仿宋_GB2312" w:eastAsia="仿宋_GB2312" w:cs="仿宋_GB2312"/>
          <w:color w:val="auto"/>
          <w:sz w:val="32"/>
          <w:szCs w:val="32"/>
        </w:rPr>
        <w:t>019</w:t>
      </w:r>
      <w:r>
        <w:rPr>
          <w:rFonts w:hint="eastAsia" w:ascii="仿宋_GB2312" w:hAnsi="仿宋_GB2312" w:eastAsia="仿宋_GB2312" w:cs="仿宋_GB2312"/>
          <w:color w:val="auto"/>
          <w:sz w:val="32"/>
          <w:szCs w:val="32"/>
        </w:rPr>
        <w:t>年版）》登记管理类别的项目，生态环境主管部门在按照相关程序完成环评审批的同时，指导申请人在“全国排污许可证管理信息平台—企业端”按要求完成登记信息填报，</w:t>
      </w:r>
      <w:r>
        <w:rPr>
          <w:rFonts w:hint="default" w:ascii="仿宋_GB2312" w:hAnsi="仿宋_GB2312" w:eastAsia="仿宋_GB2312" w:cs="仿宋_GB2312"/>
          <w:color w:val="auto"/>
          <w:sz w:val="32"/>
          <w:szCs w:val="32"/>
          <w:lang w:val="en-US"/>
        </w:rPr>
        <w:t>可</w:t>
      </w:r>
      <w:r>
        <w:rPr>
          <w:rFonts w:hint="eastAsia" w:ascii="仿宋_GB2312" w:hAnsi="仿宋_GB2312" w:eastAsia="仿宋_GB2312" w:cs="仿宋_GB2312"/>
          <w:color w:val="auto"/>
          <w:sz w:val="32"/>
          <w:szCs w:val="32"/>
        </w:rPr>
        <w:t>当场打印登记回执，完成排污许可的登记流程。</w:t>
      </w:r>
    </w:p>
    <w:p>
      <w:pPr>
        <w:keepNext w:val="0"/>
        <w:keepLines w:val="0"/>
        <w:pageBreakBefore w:val="0"/>
        <w:kinsoku/>
        <w:wordWrap/>
        <w:overflowPunct/>
        <w:topLinePunct w:val="0"/>
        <w:autoSpaceDE/>
        <w:autoSpaceDN/>
        <w:bidi w:val="0"/>
        <w:spacing w:line="579" w:lineRule="exact"/>
        <w:ind w:left="707"/>
        <w:jc w:val="both"/>
        <w:textAlignment w:val="auto"/>
        <w:rPr>
          <w:rFonts w:ascii="黑体" w:hAnsi="黑体" w:eastAsia="黑体" w:cs="黑体"/>
          <w:color w:val="auto"/>
          <w:sz w:val="32"/>
          <w:szCs w:val="32"/>
        </w:rPr>
      </w:pPr>
      <w:r>
        <w:rPr>
          <w:rFonts w:hint="eastAsia" w:ascii="黑体" w:hAnsi="黑体" w:eastAsia="黑体" w:cs="黑体"/>
          <w:color w:val="auto"/>
          <w:sz w:val="32"/>
          <w:szCs w:val="32"/>
        </w:rPr>
        <w:t>五、有关要求</w:t>
      </w:r>
    </w:p>
    <w:p>
      <w:pPr>
        <w:keepNext w:val="0"/>
        <w:keepLines w:val="0"/>
        <w:pageBreakBefore w:val="0"/>
        <w:kinsoku/>
        <w:wordWrap/>
        <w:overflowPunct/>
        <w:topLinePunct w:val="0"/>
        <w:autoSpaceDE/>
        <w:autoSpaceDN/>
        <w:bidi w:val="0"/>
        <w:spacing w:line="579" w:lineRule="exact"/>
        <w:ind w:left="-65" w:leftChars="-31" w:firstLine="771" w:firstLineChars="241"/>
        <w:jc w:val="both"/>
        <w:textAlignment w:val="auto"/>
        <w:rPr>
          <w:rFonts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（一）做好宣传引导</w:t>
      </w:r>
      <w:r>
        <w:rPr>
          <w:rFonts w:hint="eastAsia" w:ascii="仿宋_GB2312" w:hAnsi="仿宋_GB2312" w:eastAsia="仿宋_GB2312" w:cs="仿宋_GB2312"/>
          <w:color w:val="auto"/>
          <w:sz w:val="32"/>
          <w:szCs w:val="32"/>
        </w:rPr>
        <w:t>。生态环境主管部门</w:t>
      </w:r>
      <w:r>
        <w:rPr>
          <w:rFonts w:hint="default" w:ascii="仿宋_GB2312" w:hAnsi="仿宋_GB2312" w:eastAsia="仿宋_GB2312" w:cs="仿宋_GB2312"/>
          <w:color w:val="auto"/>
          <w:sz w:val="32"/>
          <w:szCs w:val="32"/>
          <w:lang w:val="en-US"/>
        </w:rPr>
        <w:t>和各区镇</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街道</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要</w:t>
      </w:r>
      <w:r>
        <w:rPr>
          <w:rFonts w:hint="default" w:ascii="仿宋_GB2312" w:hAnsi="仿宋_GB2312" w:eastAsia="仿宋_GB2312" w:cs="仿宋_GB2312"/>
          <w:color w:val="auto"/>
          <w:sz w:val="32"/>
          <w:szCs w:val="32"/>
          <w:lang w:val="en-US"/>
        </w:rPr>
        <w:t>主动做好指导和服务</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向申请人普及环评与排污许可的相关法律法规和政策依据，明确准予行政审批应当具备的条件、标准和技术要求，告知申请人需要递交的材料清单并明确提交方式和期限。同时要充分利用网络、电视、报纸等媒体加强政策宣传</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做好政策解读。</w:t>
      </w:r>
    </w:p>
    <w:p>
      <w:pPr>
        <w:keepNext w:val="0"/>
        <w:keepLines w:val="0"/>
        <w:pageBreakBefore w:val="0"/>
        <w:kinsoku/>
        <w:wordWrap/>
        <w:overflowPunct/>
        <w:topLinePunct w:val="0"/>
        <w:autoSpaceDE/>
        <w:autoSpaceDN/>
        <w:bidi w:val="0"/>
        <w:spacing w:line="579" w:lineRule="exact"/>
        <w:ind w:left="-65" w:leftChars="-31" w:firstLine="771" w:firstLineChars="241"/>
        <w:jc w:val="both"/>
        <w:textAlignment w:val="auto"/>
        <w:rPr>
          <w:rFonts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（二）</w:t>
      </w:r>
      <w:r>
        <w:rPr>
          <w:rFonts w:hint="eastAsia" w:ascii="楷体_GB2312" w:hAnsi="楷体_GB2312" w:eastAsia="楷体_GB2312" w:cs="楷体_GB2312"/>
          <w:color w:val="auto"/>
          <w:sz w:val="32"/>
          <w:szCs w:val="32"/>
          <w:lang w:val="en-US"/>
        </w:rPr>
        <w:t>提高</w:t>
      </w:r>
      <w:r>
        <w:rPr>
          <w:rFonts w:hint="eastAsia" w:ascii="楷体_GB2312" w:hAnsi="楷体_GB2312" w:eastAsia="楷体_GB2312" w:cs="楷体_GB2312"/>
          <w:color w:val="auto"/>
          <w:sz w:val="32"/>
          <w:szCs w:val="32"/>
        </w:rPr>
        <w:t>两证质量。</w:t>
      </w:r>
      <w:r>
        <w:rPr>
          <w:rFonts w:hint="default" w:ascii="仿宋_GB2312" w:hAnsi="仿宋_GB2312" w:eastAsia="仿宋_GB2312" w:cs="仿宋_GB2312"/>
          <w:color w:val="auto"/>
          <w:sz w:val="32"/>
          <w:szCs w:val="32"/>
          <w:lang w:val="en-US"/>
        </w:rPr>
        <w:t>环评编制单位和其他第三方服务机构要积极</w:t>
      </w:r>
      <w:r>
        <w:rPr>
          <w:rFonts w:hint="eastAsia" w:ascii="仿宋_GB2312" w:hAnsi="仿宋_GB2312" w:eastAsia="仿宋_GB2312" w:cs="仿宋_GB2312"/>
          <w:color w:val="auto"/>
          <w:sz w:val="32"/>
          <w:szCs w:val="32"/>
        </w:rPr>
        <w:t>开展环境影响评价和排污许可相关规范和要求的自我学习与培训，有效提高材料编制质量，对</w:t>
      </w:r>
      <w:r>
        <w:rPr>
          <w:rFonts w:hint="default" w:ascii="仿宋_GB2312" w:hAnsi="仿宋_GB2312" w:eastAsia="仿宋_GB2312" w:cs="仿宋_GB2312"/>
          <w:color w:val="auto"/>
          <w:sz w:val="32"/>
          <w:szCs w:val="32"/>
          <w:lang w:val="en-US"/>
        </w:rPr>
        <w:t>提交</w:t>
      </w:r>
      <w:r>
        <w:rPr>
          <w:rFonts w:hint="eastAsia" w:ascii="仿宋_GB2312" w:hAnsi="仿宋_GB2312" w:eastAsia="仿宋_GB2312" w:cs="仿宋_GB2312"/>
          <w:color w:val="auto"/>
          <w:sz w:val="32"/>
          <w:szCs w:val="32"/>
        </w:rPr>
        <w:t>材料内容进行严格审查，确保材料的合法合规性、完整规范性、标准统一性、技术可行性，实现提质增效。</w:t>
      </w:r>
    </w:p>
    <w:p>
      <w:pPr>
        <w:keepNext w:val="0"/>
        <w:keepLines w:val="0"/>
        <w:pageBreakBefore w:val="0"/>
        <w:kinsoku/>
        <w:wordWrap/>
        <w:overflowPunct/>
        <w:topLinePunct w:val="0"/>
        <w:autoSpaceDE/>
        <w:autoSpaceDN/>
        <w:bidi w:val="0"/>
        <w:spacing w:line="579" w:lineRule="exact"/>
        <w:ind w:left="-65" w:leftChars="-31" w:firstLine="771" w:firstLineChars="241"/>
        <w:jc w:val="both"/>
        <w:textAlignment w:val="auto"/>
        <w:rPr>
          <w:rFonts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（三）强化后续监管。</w:t>
      </w:r>
      <w:r>
        <w:rPr>
          <w:rFonts w:hint="eastAsia" w:ascii="仿宋_GB2312" w:hAnsi="仿宋_GB2312" w:eastAsia="仿宋_GB2312" w:cs="仿宋_GB2312"/>
          <w:color w:val="auto"/>
          <w:sz w:val="32"/>
          <w:szCs w:val="32"/>
        </w:rPr>
        <w:t>构建以排污许可制为核心的固定污染源监管体系，促进排污许可制与环境影响评价制度、“三同时”制度的有机融合。强化排污许可证后监管，生态环境</w:t>
      </w:r>
      <w:r>
        <w:rPr>
          <w:rFonts w:hint="default" w:ascii="仿宋_GB2312" w:hAnsi="仿宋_GB2312" w:eastAsia="仿宋_GB2312" w:cs="仿宋_GB2312"/>
          <w:color w:val="auto"/>
          <w:sz w:val="32"/>
          <w:szCs w:val="32"/>
          <w:lang w:val="en-US"/>
        </w:rPr>
        <w:t>综合</w:t>
      </w:r>
      <w:r>
        <w:rPr>
          <w:rFonts w:hint="eastAsia" w:ascii="仿宋_GB2312" w:hAnsi="仿宋_GB2312" w:eastAsia="仿宋_GB2312" w:cs="仿宋_GB2312"/>
          <w:color w:val="auto"/>
          <w:sz w:val="32"/>
          <w:szCs w:val="32"/>
          <w:lang w:val="en-US" w:eastAsia="zh-CN"/>
        </w:rPr>
        <w:t>行政</w:t>
      </w:r>
      <w:r>
        <w:rPr>
          <w:rFonts w:hint="default" w:ascii="仿宋_GB2312" w:hAnsi="仿宋_GB2312" w:eastAsia="仿宋_GB2312" w:cs="仿宋_GB2312"/>
          <w:color w:val="auto"/>
          <w:sz w:val="32"/>
          <w:szCs w:val="32"/>
          <w:lang w:val="en-US"/>
        </w:rPr>
        <w:t>执法</w:t>
      </w:r>
      <w:r>
        <w:rPr>
          <w:rFonts w:hint="eastAsia" w:ascii="仿宋_GB2312" w:hAnsi="仿宋_GB2312" w:eastAsia="仿宋_GB2312" w:cs="仿宋_GB2312"/>
          <w:color w:val="auto"/>
          <w:sz w:val="32"/>
          <w:szCs w:val="32"/>
        </w:rPr>
        <w:t>部门应加强对企业排污情况、自行监测、执行报告和台账记录等方面的监督管理，督促排污单位依证履行主体责任。</w:t>
      </w:r>
    </w:p>
    <w:p>
      <w:pPr>
        <w:keepNext w:val="0"/>
        <w:keepLines w:val="0"/>
        <w:pageBreakBefore w:val="0"/>
        <w:kinsoku/>
        <w:wordWrap/>
        <w:overflowPunct/>
        <w:topLinePunct w:val="0"/>
        <w:autoSpaceDE/>
        <w:autoSpaceDN/>
        <w:bidi w:val="0"/>
        <w:spacing w:line="579" w:lineRule="exact"/>
        <w:jc w:val="both"/>
        <w:textAlignment w:val="auto"/>
        <w:rPr>
          <w:rFonts w:ascii="仿宋_GB2312" w:eastAsia="仿宋_GB2312"/>
          <w:color w:val="auto"/>
        </w:rPr>
      </w:pPr>
    </w:p>
    <w:p>
      <w:pPr>
        <w:keepNext w:val="0"/>
        <w:keepLines w:val="0"/>
        <w:pageBreakBefore w:val="0"/>
        <w:kinsoku/>
        <w:wordWrap/>
        <w:overflowPunct/>
        <w:topLinePunct w:val="0"/>
        <w:autoSpaceDE/>
        <w:autoSpaceDN/>
        <w:bidi w:val="0"/>
        <w:spacing w:line="579" w:lineRule="exact"/>
        <w:jc w:val="both"/>
        <w:textAlignment w:val="auto"/>
        <w:rPr>
          <w:rFonts w:ascii="仿宋_GB2312" w:eastAsia="仿宋_GB2312"/>
          <w:color w:val="auto"/>
        </w:rPr>
      </w:pPr>
    </w:p>
    <w:p>
      <w:pPr>
        <w:keepNext w:val="0"/>
        <w:keepLines w:val="0"/>
        <w:pageBreakBefore w:val="0"/>
        <w:kinsoku/>
        <w:wordWrap/>
        <w:overflowPunct/>
        <w:topLinePunct w:val="0"/>
        <w:autoSpaceDE/>
        <w:autoSpaceDN/>
        <w:bidi w:val="0"/>
        <w:spacing w:line="579" w:lineRule="exact"/>
        <w:jc w:val="both"/>
        <w:textAlignment w:val="auto"/>
        <w:rPr>
          <w:rFonts w:ascii="仿宋_GB2312" w:eastAsia="仿宋_GB2312"/>
          <w:color w:val="auto"/>
        </w:rPr>
      </w:pPr>
    </w:p>
    <w:p>
      <w:pPr>
        <w:keepNext w:val="0"/>
        <w:keepLines w:val="0"/>
        <w:pageBreakBefore w:val="0"/>
        <w:kinsoku/>
        <w:wordWrap/>
        <w:overflowPunct/>
        <w:topLinePunct w:val="0"/>
        <w:autoSpaceDE/>
        <w:autoSpaceDN/>
        <w:bidi w:val="0"/>
        <w:spacing w:line="579" w:lineRule="exact"/>
        <w:jc w:val="both"/>
        <w:textAlignment w:val="auto"/>
        <w:rPr>
          <w:rFonts w:ascii="仿宋_GB2312" w:eastAsia="仿宋_GB2312"/>
          <w:color w:val="auto"/>
        </w:rPr>
      </w:pPr>
    </w:p>
    <w:p>
      <w:pPr>
        <w:keepNext w:val="0"/>
        <w:keepLines w:val="0"/>
        <w:pageBreakBefore w:val="0"/>
        <w:kinsoku/>
        <w:wordWrap/>
        <w:overflowPunct/>
        <w:topLinePunct w:val="0"/>
        <w:autoSpaceDE/>
        <w:autoSpaceDN/>
        <w:bidi w:val="0"/>
        <w:spacing w:line="579" w:lineRule="exact"/>
        <w:jc w:val="both"/>
        <w:textAlignment w:val="auto"/>
        <w:rPr>
          <w:rFonts w:ascii="仿宋_GB2312" w:eastAsia="仿宋_GB2312"/>
          <w:color w:val="auto"/>
        </w:rPr>
      </w:pPr>
    </w:p>
    <w:p>
      <w:pPr>
        <w:keepNext w:val="0"/>
        <w:keepLines w:val="0"/>
        <w:pageBreakBefore w:val="0"/>
        <w:kinsoku/>
        <w:wordWrap/>
        <w:overflowPunct/>
        <w:topLinePunct w:val="0"/>
        <w:autoSpaceDE/>
        <w:autoSpaceDN/>
        <w:bidi w:val="0"/>
        <w:spacing w:line="579" w:lineRule="exact"/>
        <w:jc w:val="both"/>
        <w:textAlignment w:val="auto"/>
        <w:rPr>
          <w:rFonts w:ascii="仿宋_GB2312" w:eastAsia="仿宋_GB2312"/>
          <w:color w:val="auto"/>
        </w:rPr>
      </w:pPr>
    </w:p>
    <w:p>
      <w:pPr>
        <w:keepNext w:val="0"/>
        <w:keepLines w:val="0"/>
        <w:pageBreakBefore w:val="0"/>
        <w:kinsoku/>
        <w:wordWrap/>
        <w:overflowPunct/>
        <w:topLinePunct w:val="0"/>
        <w:autoSpaceDE/>
        <w:autoSpaceDN/>
        <w:bidi w:val="0"/>
        <w:spacing w:line="579" w:lineRule="exact"/>
        <w:jc w:val="both"/>
        <w:textAlignment w:val="auto"/>
        <w:rPr>
          <w:rFonts w:ascii="仿宋_GB2312" w:eastAsia="仿宋_GB2312"/>
          <w:color w:val="auto"/>
        </w:rPr>
      </w:pPr>
    </w:p>
    <w:p>
      <w:pPr>
        <w:keepNext w:val="0"/>
        <w:keepLines w:val="0"/>
        <w:pageBreakBefore w:val="0"/>
        <w:kinsoku/>
        <w:wordWrap/>
        <w:overflowPunct/>
        <w:topLinePunct w:val="0"/>
        <w:autoSpaceDE/>
        <w:autoSpaceDN/>
        <w:bidi w:val="0"/>
        <w:spacing w:line="579" w:lineRule="exact"/>
        <w:jc w:val="both"/>
        <w:textAlignment w:val="auto"/>
        <w:rPr>
          <w:rFonts w:ascii="仿宋_GB2312" w:eastAsia="仿宋_GB2312"/>
          <w:color w:val="auto"/>
        </w:rPr>
      </w:pPr>
    </w:p>
    <w:p>
      <w:pPr>
        <w:keepNext w:val="0"/>
        <w:keepLines w:val="0"/>
        <w:pageBreakBefore w:val="0"/>
        <w:kinsoku/>
        <w:wordWrap/>
        <w:overflowPunct/>
        <w:topLinePunct w:val="0"/>
        <w:autoSpaceDE/>
        <w:autoSpaceDN/>
        <w:bidi w:val="0"/>
        <w:spacing w:line="579" w:lineRule="exact"/>
        <w:jc w:val="both"/>
        <w:textAlignment w:val="auto"/>
        <w:rPr>
          <w:rFonts w:ascii="仿宋_GB2312" w:eastAsia="仿宋_GB2312"/>
          <w:color w:val="auto"/>
        </w:rPr>
      </w:pPr>
    </w:p>
    <w:p>
      <w:pPr>
        <w:keepNext w:val="0"/>
        <w:keepLines w:val="0"/>
        <w:pageBreakBefore w:val="0"/>
        <w:kinsoku/>
        <w:wordWrap/>
        <w:overflowPunct/>
        <w:topLinePunct w:val="0"/>
        <w:autoSpaceDE/>
        <w:autoSpaceDN/>
        <w:bidi w:val="0"/>
        <w:spacing w:line="579" w:lineRule="exact"/>
        <w:jc w:val="both"/>
        <w:textAlignment w:val="auto"/>
        <w:rPr>
          <w:rFonts w:ascii="仿宋_GB2312" w:eastAsia="仿宋_GB2312"/>
          <w:color w:val="auto"/>
        </w:rPr>
      </w:pPr>
    </w:p>
    <w:p>
      <w:pPr>
        <w:keepNext w:val="0"/>
        <w:keepLines w:val="0"/>
        <w:pageBreakBefore w:val="0"/>
        <w:kinsoku/>
        <w:wordWrap/>
        <w:overflowPunct/>
        <w:topLinePunct w:val="0"/>
        <w:autoSpaceDE/>
        <w:autoSpaceDN/>
        <w:bidi w:val="0"/>
        <w:spacing w:line="579" w:lineRule="exact"/>
        <w:jc w:val="both"/>
        <w:textAlignment w:val="auto"/>
        <w:rPr>
          <w:rFonts w:ascii="仿宋_GB2312" w:eastAsia="仿宋_GB2312"/>
          <w:color w:val="auto"/>
        </w:rPr>
      </w:pPr>
    </w:p>
    <w:p>
      <w:pPr>
        <w:pStyle w:val="24"/>
        <w:keepNext w:val="0"/>
        <w:keepLines w:val="0"/>
        <w:pageBreakBefore w:val="0"/>
        <w:kinsoku/>
        <w:wordWrap/>
        <w:overflowPunct/>
        <w:topLinePunct w:val="0"/>
        <w:autoSpaceDE/>
        <w:autoSpaceDN/>
        <w:bidi w:val="0"/>
        <w:snapToGrid w:val="0"/>
        <w:spacing w:line="579" w:lineRule="exact"/>
        <w:ind w:left="-57" w:right="-57"/>
        <w:jc w:val="both"/>
        <w:textAlignment w:val="auto"/>
        <w:rPr>
          <w:b/>
          <w:color w:val="auto"/>
        </w:rPr>
      </w:pP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BC12D88-C0AD-4C14-AE11-FAFA792E1815}"/>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624D9098-5B17-4461-A24A-9FFFC9E4573E}"/>
  </w:font>
  <w:font w:name="汉鼎简大宋">
    <w:altName w:val="宋体"/>
    <w:panose1 w:val="00000000000000000000"/>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embedRegular r:id="rId3" w:fontKey="{64A533C7-02DF-4C90-AA2B-437CF296A049}"/>
  </w:font>
  <w:font w:name="仿宋_GB2312">
    <w:panose1 w:val="02010609030101010101"/>
    <w:charset w:val="86"/>
    <w:family w:val="modern"/>
    <w:pitch w:val="default"/>
    <w:sig w:usb0="00000001" w:usb1="080E0000" w:usb2="00000000" w:usb3="00000000" w:csb0="00040000" w:csb1="00000000"/>
    <w:embedRegular r:id="rId4" w:fontKey="{BE34C2D9-2280-460A-A479-76C1C6395853}"/>
  </w:font>
  <w:font w:name="楷体_GB2312">
    <w:panose1 w:val="02010609030101010101"/>
    <w:charset w:val="86"/>
    <w:family w:val="modern"/>
    <w:pitch w:val="default"/>
    <w:sig w:usb0="00000001" w:usb1="080E0000" w:usb2="00000000" w:usb3="00000000" w:csb0="00040000" w:csb1="00000000"/>
    <w:embedRegular r:id="rId5" w:fontKey="{6B5F8F89-C0B2-4B33-AB26-1EF387F8489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7143D1"/>
    <w:rsid w:val="154F3E91"/>
    <w:rsid w:val="22175A5D"/>
    <w:rsid w:val="26D459FB"/>
    <w:rsid w:val="35BF106D"/>
    <w:rsid w:val="44F0118E"/>
    <w:rsid w:val="5DEF5A0F"/>
    <w:rsid w:val="63C13908"/>
    <w:rsid w:val="670D4C49"/>
    <w:rsid w:val="684F7812"/>
    <w:rsid w:val="6BD7571F"/>
    <w:rsid w:val="759404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paragraph" w:styleId="3">
    <w:name w:val="heading 1"/>
    <w:basedOn w:val="1"/>
    <w:next w:val="1"/>
    <w:link w:val="13"/>
    <w:qFormat/>
    <w:uiPriority w:val="9"/>
    <w:pPr>
      <w:keepNext/>
      <w:keepLines/>
      <w:spacing w:before="340" w:after="330" w:line="578" w:lineRule="auto"/>
      <w:outlineLvl w:val="0"/>
    </w:pPr>
    <w:rPr>
      <w:b/>
      <w:bCs/>
      <w:kern w:val="44"/>
      <w:sz w:val="44"/>
      <w:szCs w:val="44"/>
    </w:rPr>
  </w:style>
  <w:style w:type="character" w:default="1" w:styleId="11">
    <w:name w:val="Default Paragraph Font"/>
    <w:qFormat/>
    <w:uiPriority w:val="1"/>
  </w:style>
  <w:style w:type="table" w:default="1" w:styleId="9">
    <w:name w:val="Normal Table"/>
    <w:qFormat/>
    <w:uiPriority w:val="99"/>
    <w:tblPr>
      <w:tblCellMar>
        <w:top w:w="0" w:type="dxa"/>
        <w:left w:w="108" w:type="dxa"/>
        <w:bottom w:w="0" w:type="dxa"/>
        <w:right w:w="108" w:type="dxa"/>
      </w:tblCellMar>
    </w:tblPr>
  </w:style>
  <w:style w:type="paragraph" w:customStyle="1" w:styleId="2">
    <w:name w:val="段"/>
    <w:next w:val="1"/>
    <w:qFormat/>
    <w:uiPriority w:val="0"/>
    <w:pPr>
      <w:autoSpaceDE w:val="0"/>
      <w:autoSpaceDN w:val="0"/>
      <w:ind w:firstLine="200"/>
      <w:jc w:val="both"/>
    </w:pPr>
    <w:rPr>
      <w:rFonts w:ascii="宋体" w:hAnsi="Calibri" w:eastAsia="宋体" w:cs="Times New Roman"/>
      <w:sz w:val="21"/>
      <w:lang w:val="en-US" w:eastAsia="zh-CN" w:bidi="ar-SA"/>
    </w:rPr>
  </w:style>
  <w:style w:type="paragraph" w:styleId="4">
    <w:name w:val="Normal Indent"/>
    <w:basedOn w:val="1"/>
    <w:next w:val="1"/>
    <w:qFormat/>
    <w:uiPriority w:val="0"/>
    <w:pPr>
      <w:adjustRightInd w:val="0"/>
      <w:jc w:val="left"/>
    </w:pPr>
    <w:rPr>
      <w:spacing w:val="-25"/>
    </w:rPr>
  </w:style>
  <w:style w:type="paragraph" w:styleId="5">
    <w:name w:val="Balloon Text"/>
    <w:basedOn w:val="1"/>
    <w:link w:val="19"/>
    <w:qFormat/>
    <w:uiPriority w:val="99"/>
    <w:rPr>
      <w:sz w:val="18"/>
      <w:szCs w:val="18"/>
    </w:rPr>
  </w:style>
  <w:style w:type="paragraph" w:styleId="6">
    <w:name w:val="footer"/>
    <w:basedOn w:val="1"/>
    <w:link w:val="16"/>
    <w:qFormat/>
    <w:uiPriority w:val="99"/>
    <w:pPr>
      <w:tabs>
        <w:tab w:val="center" w:pos="4153"/>
        <w:tab w:val="right" w:pos="8306"/>
      </w:tabs>
      <w:snapToGrid w:val="0"/>
      <w:jc w:val="left"/>
    </w:pPr>
    <w:rPr>
      <w:sz w:val="18"/>
      <w:szCs w:val="18"/>
    </w:rPr>
  </w:style>
  <w:style w:type="paragraph" w:styleId="7">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jc w:val="left"/>
    </w:pPr>
    <w:rPr>
      <w:rFonts w:cs="Times New Roman"/>
      <w:kern w:val="0"/>
      <w:sz w:val="24"/>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0"/>
  </w:style>
  <w:style w:type="character" w:customStyle="1" w:styleId="13">
    <w:name w:val="标题 1 Char"/>
    <w:basedOn w:val="11"/>
    <w:link w:val="3"/>
    <w:qFormat/>
    <w:uiPriority w:val="9"/>
    <w:rPr>
      <w:b/>
      <w:bCs/>
      <w:kern w:val="44"/>
      <w:sz w:val="44"/>
      <w:szCs w:val="44"/>
    </w:rPr>
  </w:style>
  <w:style w:type="paragraph" w:styleId="14">
    <w:name w:val="List Paragraph"/>
    <w:basedOn w:val="1"/>
    <w:qFormat/>
    <w:uiPriority w:val="34"/>
    <w:pPr>
      <w:ind w:firstLine="420" w:firstLineChars="200"/>
    </w:pPr>
  </w:style>
  <w:style w:type="character" w:customStyle="1" w:styleId="15">
    <w:name w:val="页眉 Char"/>
    <w:basedOn w:val="11"/>
    <w:link w:val="7"/>
    <w:qFormat/>
    <w:uiPriority w:val="99"/>
    <w:rPr>
      <w:rFonts w:ascii="Calibri" w:hAnsi="Calibri" w:eastAsia="宋体" w:cs="宋体"/>
      <w:kern w:val="2"/>
      <w:sz w:val="18"/>
      <w:szCs w:val="18"/>
    </w:rPr>
  </w:style>
  <w:style w:type="character" w:customStyle="1" w:styleId="16">
    <w:name w:val="页脚 Char"/>
    <w:basedOn w:val="11"/>
    <w:link w:val="6"/>
    <w:qFormat/>
    <w:uiPriority w:val="99"/>
    <w:rPr>
      <w:rFonts w:ascii="Calibri" w:hAnsi="Calibri" w:eastAsia="宋体" w:cs="宋体"/>
      <w:kern w:val="2"/>
      <w:sz w:val="18"/>
      <w:szCs w:val="18"/>
    </w:rPr>
  </w:style>
  <w:style w:type="table" w:customStyle="1" w:styleId="17">
    <w:name w:val="Table Normal"/>
    <w:qFormat/>
    <w:uiPriority w:val="2"/>
    <w:pPr>
      <w:widowControl w:val="0"/>
      <w:autoSpaceDE w:val="0"/>
      <w:autoSpaceDN w:val="0"/>
    </w:pPr>
    <w:rPr>
      <w:rFonts w:ascii="Calibri" w:hAnsi="Calibri" w:eastAsia="宋体" w:cs="宋体"/>
      <w:sz w:val="22"/>
      <w:szCs w:val="22"/>
      <w:lang w:eastAsia="en-US"/>
    </w:rPr>
    <w:tblPr>
      <w:tblCellMar>
        <w:top w:w="0" w:type="dxa"/>
        <w:left w:w="0" w:type="dxa"/>
        <w:bottom w:w="0" w:type="dxa"/>
        <w:right w:w="0" w:type="dxa"/>
      </w:tblCellMar>
    </w:tblPr>
  </w:style>
  <w:style w:type="paragraph" w:customStyle="1" w:styleId="18">
    <w:name w:val="Table Paragraph"/>
    <w:basedOn w:val="1"/>
    <w:qFormat/>
    <w:uiPriority w:val="1"/>
    <w:pPr>
      <w:autoSpaceDE w:val="0"/>
      <w:autoSpaceDN w:val="0"/>
      <w:jc w:val="left"/>
    </w:pPr>
    <w:rPr>
      <w:rFonts w:ascii="宋体" w:hAnsi="宋体" w:eastAsia="宋体" w:cs="宋体"/>
      <w:kern w:val="0"/>
      <w:sz w:val="22"/>
      <w:lang w:eastAsia="en-US"/>
    </w:rPr>
  </w:style>
  <w:style w:type="character" w:customStyle="1" w:styleId="19">
    <w:name w:val="批注框文本 Char"/>
    <w:basedOn w:val="11"/>
    <w:link w:val="5"/>
    <w:qFormat/>
    <w:uiPriority w:val="99"/>
    <w:rPr>
      <w:rFonts w:ascii="Calibri" w:hAnsi="Calibri" w:eastAsia="宋体" w:cs="宋体"/>
      <w:kern w:val="2"/>
      <w:sz w:val="18"/>
      <w:szCs w:val="18"/>
    </w:rPr>
  </w:style>
  <w:style w:type="paragraph" w:customStyle="1" w:styleId="20">
    <w:name w:val="密级"/>
    <w:basedOn w:val="1"/>
    <w:qFormat/>
    <w:uiPriority w:val="0"/>
    <w:pPr>
      <w:autoSpaceDE w:val="0"/>
      <w:autoSpaceDN w:val="0"/>
      <w:adjustRightInd w:val="0"/>
      <w:spacing w:line="425" w:lineRule="atLeast"/>
      <w:jc w:val="right"/>
    </w:pPr>
    <w:rPr>
      <w:rFonts w:ascii="黑体" w:eastAsia="黑体"/>
      <w:kern w:val="0"/>
      <w:sz w:val="30"/>
    </w:rPr>
  </w:style>
  <w:style w:type="paragraph" w:customStyle="1" w:styleId="21">
    <w:name w:val="文头"/>
    <w:basedOn w:val="1"/>
    <w:qFormat/>
    <w:uiPriority w:val="0"/>
    <w:pPr>
      <w:tabs>
        <w:tab w:val="left" w:pos="6663"/>
      </w:tabs>
      <w:spacing w:after="800" w:line="1500" w:lineRule="atLeast"/>
      <w:ind w:left="511" w:right="227" w:hanging="284"/>
      <w:jc w:val="distribute"/>
    </w:pPr>
    <w:rPr>
      <w:rFonts w:ascii="汉鼎简大宋" w:eastAsia="汉鼎简大宋"/>
      <w:b/>
      <w:color w:val="FF0000"/>
      <w:w w:val="62"/>
      <w:sz w:val="140"/>
    </w:rPr>
  </w:style>
  <w:style w:type="paragraph" w:customStyle="1" w:styleId="22">
    <w:name w:val="红线"/>
    <w:basedOn w:val="3"/>
    <w:qFormat/>
    <w:uiPriority w:val="0"/>
    <w:pPr>
      <w:keepNext w:val="0"/>
      <w:keepLines w:val="0"/>
      <w:autoSpaceDE w:val="0"/>
      <w:autoSpaceDN w:val="0"/>
      <w:adjustRightInd w:val="0"/>
      <w:spacing w:before="0" w:after="851" w:line="227" w:lineRule="atLeast"/>
      <w:ind w:right="-142"/>
      <w:jc w:val="center"/>
      <w:outlineLvl w:val="9"/>
    </w:pPr>
    <w:rPr>
      <w:rFonts w:ascii="宋体" w:eastAsia="宋体"/>
      <w:kern w:val="0"/>
      <w:sz w:val="10"/>
    </w:rPr>
  </w:style>
  <w:style w:type="paragraph" w:customStyle="1" w:styleId="23">
    <w:name w:val="标题1"/>
    <w:basedOn w:val="1"/>
    <w:next w:val="1"/>
    <w:qFormat/>
    <w:uiPriority w:val="0"/>
    <w:pPr>
      <w:tabs>
        <w:tab w:val="left" w:pos="9193"/>
        <w:tab w:val="left" w:pos="9827"/>
      </w:tabs>
      <w:spacing w:line="700" w:lineRule="atLeast"/>
      <w:jc w:val="center"/>
    </w:pPr>
    <w:rPr>
      <w:rFonts w:eastAsia="方正小标宋_GBK"/>
      <w:sz w:val="44"/>
    </w:rPr>
  </w:style>
  <w:style w:type="paragraph" w:customStyle="1" w:styleId="24">
    <w:name w:val="线型"/>
    <w:basedOn w:val="25"/>
    <w:qFormat/>
    <w:uiPriority w:val="0"/>
    <w:pPr>
      <w:spacing w:line="240" w:lineRule="auto"/>
      <w:ind w:left="0" w:firstLine="0"/>
      <w:jc w:val="center"/>
    </w:pPr>
  </w:style>
  <w:style w:type="paragraph" w:customStyle="1" w:styleId="25">
    <w:name w:val="抄送栏"/>
    <w:basedOn w:val="1"/>
    <w:qFormat/>
    <w:uiPriority w:val="0"/>
    <w:pPr>
      <w:adjustRightInd w:val="0"/>
      <w:spacing w:line="454" w:lineRule="atLeast"/>
      <w:ind w:left="1310" w:right="357" w:hanging="953"/>
    </w:pPr>
  </w:style>
  <w:style w:type="paragraph" w:customStyle="1" w:styleId="26">
    <w:name w:val="印发栏"/>
    <w:basedOn w:val="4"/>
    <w:qFormat/>
    <w:uiPriority w:val="0"/>
    <w:pPr>
      <w:tabs>
        <w:tab w:val="right" w:pos="8465"/>
      </w:tabs>
      <w:spacing w:line="454" w:lineRule="atLeast"/>
      <w:ind w:left="357" w:right="357"/>
    </w:pPr>
    <w:rPr>
      <w:spacing w:val="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510598-05CB-4CBD-8645-7AF7F9B511B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1459</Words>
  <Characters>1494</Characters>
  <Paragraphs>36</Paragraphs>
  <TotalTime>14</TotalTime>
  <ScaleCrop>false</ScaleCrop>
  <LinksUpToDate>false</LinksUpToDate>
  <CharactersWithSpaces>1494</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2021-11-07T06:24:00Z</dcterms:created>
  <dc:creator>Actwin</dc:creator>
  <cp:lastModifiedBy>Administrator</cp:lastModifiedBy>
  <cp:lastPrinted>2021-12-23T00:50:00Z</cp:lastPrinted>
  <dcterms:modified xsi:type="dcterms:W3CDTF">2021-12-23T07:20:00Z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5396B910806940FABCBEB41568B7333F</vt:lpwstr>
  </property>
</Properties>
</file>