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Times New Roman" w:hAnsi="Times New Roman" w:eastAsia="黑体" w:cs="Times New Roman"/>
          <w:snapToGrid w:val="0"/>
          <w:color w:val="auto"/>
          <w:kern w:val="0"/>
          <w:sz w:val="44"/>
          <w:szCs w:val="20"/>
          <w:lang w:val="en-US" w:eastAsia="zh-CN" w:bidi="ar-SA"/>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autoSpaceDE/>
        <w:autoSpaceDN/>
        <w:snapToGrid/>
        <w:spacing w:line="590" w:lineRule="exact"/>
        <w:ind w:firstLine="0"/>
        <w:jc w:val="center"/>
        <w:rPr>
          <w:rFonts w:hint="eastAsia" w:ascii="方正小标宋_GBK" w:hAnsi="Calibri" w:eastAsia="方正小标宋_GBK" w:cs="Calibri"/>
          <w:snapToGrid/>
          <w:kern w:val="2"/>
          <w:sz w:val="44"/>
          <w:szCs w:val="32"/>
          <w:lang w:val="en-US" w:eastAsia="zh-CN"/>
        </w:rPr>
      </w:pPr>
      <w:r>
        <w:rPr>
          <w:rFonts w:hint="eastAsia" w:ascii="方正小标宋_GBK" w:hAnsi="Calibri" w:eastAsia="方正小标宋_GBK" w:cs="Calibri"/>
          <w:snapToGrid/>
          <w:kern w:val="2"/>
          <w:sz w:val="44"/>
          <w:szCs w:val="32"/>
          <w:lang w:val="en-US" w:eastAsia="zh-CN"/>
        </w:rPr>
        <w:t>吴江区关于加强规划环境影响评价、</w:t>
      </w:r>
    </w:p>
    <w:p>
      <w:pPr>
        <w:autoSpaceDE/>
        <w:autoSpaceDN/>
        <w:snapToGrid/>
        <w:spacing w:line="590" w:lineRule="exact"/>
        <w:ind w:firstLine="0"/>
        <w:jc w:val="center"/>
        <w:rPr>
          <w:rFonts w:hint="eastAsia" w:ascii="方正小标宋_GBK" w:hAnsi="Calibri" w:eastAsia="方正小标宋_GBK" w:cs="Calibri"/>
          <w:snapToGrid/>
          <w:kern w:val="2"/>
          <w:sz w:val="44"/>
          <w:szCs w:val="32"/>
          <w:lang w:val="en-US" w:eastAsia="zh-CN"/>
        </w:rPr>
      </w:pPr>
      <w:r>
        <w:rPr>
          <w:rFonts w:hint="eastAsia" w:ascii="方正小标宋_GBK" w:hAnsi="Calibri" w:eastAsia="方正小标宋_GBK" w:cs="Calibri"/>
          <w:snapToGrid/>
          <w:kern w:val="2"/>
          <w:sz w:val="44"/>
          <w:szCs w:val="32"/>
          <w:lang w:val="en-US" w:eastAsia="zh-CN"/>
        </w:rPr>
        <w:t>区域评估与建设项目环境影响评价联动</w:t>
      </w:r>
    </w:p>
    <w:p>
      <w:pPr>
        <w:autoSpaceDE/>
        <w:autoSpaceDN/>
        <w:snapToGrid/>
        <w:spacing w:line="590" w:lineRule="exact"/>
        <w:ind w:firstLine="0"/>
        <w:jc w:val="center"/>
        <w:rPr>
          <w:rFonts w:hint="eastAsia" w:ascii="方正小标宋_GBK" w:hAnsi="Calibri" w:eastAsia="方正小标宋_GBK" w:cs="Calibri"/>
          <w:snapToGrid/>
          <w:kern w:val="2"/>
          <w:sz w:val="44"/>
          <w:szCs w:val="32"/>
          <w:lang w:val="en-US" w:eastAsia="zh-CN"/>
        </w:rPr>
      </w:pPr>
      <w:bookmarkStart w:id="0" w:name="_GoBack"/>
      <w:bookmarkEnd w:id="0"/>
      <w:r>
        <w:rPr>
          <w:rFonts w:hint="eastAsia" w:ascii="方正小标宋_GBK" w:hAnsi="Calibri" w:eastAsia="方正小标宋_GBK" w:cs="Calibri"/>
          <w:snapToGrid/>
          <w:kern w:val="2"/>
          <w:sz w:val="44"/>
          <w:szCs w:val="32"/>
          <w:lang w:val="en-US" w:eastAsia="zh-CN"/>
        </w:rPr>
        <w:t>的实施细则（试行）</w:t>
      </w:r>
    </w:p>
    <w:p>
      <w:pPr>
        <w:keepNext w:val="0"/>
        <w:keepLines w:val="0"/>
        <w:pageBreakBefore w:val="0"/>
        <w:widowControl w:val="0"/>
        <w:kinsoku/>
        <w:wordWrap/>
        <w:overflowPunct/>
        <w:topLinePunct w:val="0"/>
        <w:autoSpaceDE w:val="0"/>
        <w:autoSpaceDN w:val="0"/>
        <w:bidi w:val="0"/>
        <w:adjustRightInd/>
        <w:snapToGrid w:val="0"/>
        <w:spacing w:line="640" w:lineRule="exact"/>
        <w:ind w:left="0" w:leftChars="0" w:firstLine="0" w:firstLineChars="0"/>
        <w:jc w:val="center"/>
        <w:textAlignment w:val="auto"/>
        <w:rPr>
          <w:rFonts w:hint="eastAsia" w:eastAsia="方正小标宋_GBK" w:cs="Times New Roman"/>
          <w:snapToGrid w:val="0"/>
          <w:color w:val="auto"/>
          <w:sz w:val="44"/>
          <w:szCs w:val="44"/>
          <w:highlight w:val="none"/>
          <w:lang w:val="en-US" w:eastAsia="zh-CN" w:bidi="ar-SA"/>
        </w:rPr>
      </w:pP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为深入落实长三角一体化发展国家战略，充分发挥规划环境影响评价（以下简称“规划环评”）的宏观引导功能，提高建设项目环境影响评价（以下简称“项目环评”）的审批效率，积极助推我区绿色高质量发展，根据《浙江省生态环境厅 上海市生态环境局 江苏省生态环境厅 长三角生态绿色一体化发展示范区执行委员会关于深化长三角生态绿色一体化发展示范区环评制度改革的指导意见（试行）》（浙环函</w:t>
      </w:r>
      <w:r>
        <w:rPr>
          <w:rFonts w:hint="eastAsia" w:ascii="仿宋_GB2312" w:eastAsia="仿宋_GB2312"/>
          <w:color w:val="auto"/>
          <w:highlight w:val="none"/>
          <w:lang w:val="en-US" w:eastAsia="zh-CN"/>
        </w:rPr>
        <w:t>〔2021〕</w:t>
      </w:r>
      <w:r>
        <w:rPr>
          <w:rFonts w:hint="eastAsia" w:ascii="仿宋_GB2312" w:eastAsia="仿宋_GB2312"/>
          <w:color w:val="auto"/>
          <w:highlight w:val="none"/>
        </w:rPr>
        <w:t>260号）、《省商务厅 省自然资源厅</w:t>
      </w:r>
      <w:r>
        <w:rPr>
          <w:rFonts w:hint="eastAsia" w:ascii="仿宋_GB2312" w:eastAsia="仿宋_GB2312"/>
          <w:color w:val="auto"/>
          <w:highlight w:val="none"/>
          <w:lang w:val="en-US" w:eastAsia="zh-CN"/>
        </w:rPr>
        <w:t xml:space="preserve"> </w:t>
      </w:r>
      <w:r>
        <w:rPr>
          <w:rFonts w:hint="eastAsia" w:ascii="仿宋_GB2312" w:eastAsia="仿宋_GB2312"/>
          <w:color w:val="auto"/>
          <w:highlight w:val="none"/>
        </w:rPr>
        <w:t>省生态环境厅等七部门关于印发江苏省开发区区域评估工作方案（试行）实施细则的通知》（苏商开发</w:t>
      </w:r>
      <w:r>
        <w:rPr>
          <w:rFonts w:hint="eastAsia" w:ascii="仿宋_GB2312" w:eastAsia="仿宋_GB2312"/>
          <w:color w:val="auto"/>
          <w:highlight w:val="none"/>
          <w:lang w:val="en-US" w:eastAsia="zh-CN"/>
        </w:rPr>
        <w:t>〔2019〕</w:t>
      </w:r>
      <w:r>
        <w:rPr>
          <w:rFonts w:hint="eastAsia" w:ascii="仿宋_GB2312" w:eastAsia="仿宋_GB2312"/>
          <w:color w:val="auto"/>
          <w:highlight w:val="none"/>
        </w:rPr>
        <w:t>548号）</w:t>
      </w:r>
      <w:r>
        <w:rPr>
          <w:rFonts w:hint="default" w:ascii="仿宋_GB2312" w:eastAsia="仿宋_GB2312"/>
          <w:color w:val="auto"/>
          <w:highlight w:val="none"/>
          <w:lang w:val="en-US"/>
        </w:rPr>
        <w:t>有关要求</w:t>
      </w:r>
      <w:r>
        <w:rPr>
          <w:rFonts w:hint="eastAsia" w:ascii="仿宋_GB2312" w:eastAsia="仿宋_GB2312"/>
          <w:color w:val="auto"/>
          <w:highlight w:val="none"/>
        </w:rPr>
        <w:t>，结合我区实际，制定本细则：</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黑体" w:hAnsi="黑体" w:eastAsia="黑体" w:cs="黑体"/>
          <w:color w:val="auto"/>
          <w:highlight w:val="none"/>
          <w:lang w:eastAsia="zh-CN"/>
        </w:rPr>
      </w:pP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rPr>
        <w:t>实施</w:t>
      </w:r>
      <w:r>
        <w:rPr>
          <w:rFonts w:hint="eastAsia" w:ascii="黑体" w:hAnsi="黑体" w:eastAsia="黑体" w:cs="黑体"/>
          <w:color w:val="auto"/>
          <w:highlight w:val="none"/>
          <w:lang w:val="en-US" w:eastAsia="zh-CN"/>
        </w:rPr>
        <w:t>内容</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按照本细则中明确的实施范围、</w:t>
      </w:r>
      <w:r>
        <w:rPr>
          <w:rFonts w:hint="eastAsia" w:ascii="仿宋_GB2312" w:hAnsi="仿宋_GB2312" w:eastAsia="仿宋_GB2312" w:cs="仿宋_GB2312"/>
          <w:color w:val="auto"/>
          <w:sz w:val="32"/>
          <w:szCs w:val="32"/>
          <w:highlight w:val="none"/>
          <w:lang w:val="en-US" w:eastAsia="zh-CN"/>
        </w:rPr>
        <w:t>具体举措</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建设项目环评可通过与规划环评、区域评估共享部分资料、引用评估成果，实现降级审批、简化流程、缩短时间、优化管理等。</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rPr>
        <w:t>实施</w:t>
      </w:r>
      <w:r>
        <w:rPr>
          <w:rFonts w:hint="eastAsia" w:ascii="黑体" w:hAnsi="黑体" w:eastAsia="黑体" w:cs="黑体"/>
          <w:color w:val="auto"/>
          <w:highlight w:val="none"/>
          <w:lang w:val="en-US" w:eastAsia="zh-CN"/>
        </w:rPr>
        <w:t>范围</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类型</w:t>
      </w:r>
      <w:r>
        <w:rPr>
          <w:rFonts w:hint="default" w:ascii="Times New Roman" w:hAnsi="Times New Roman" w:eastAsia="仿宋_GB2312" w:cs="Times New Roman"/>
          <w:color w:val="auto"/>
          <w:highlight w:val="none"/>
        </w:rPr>
        <w:t>I</w:t>
      </w:r>
      <w:r>
        <w:rPr>
          <w:rFonts w:hint="eastAsia" w:ascii="仿宋_GB2312" w:eastAsia="仿宋_GB2312"/>
          <w:color w:val="auto"/>
          <w:highlight w:val="none"/>
        </w:rPr>
        <w:t>：依法组织开展规划环评编制并通过审查、明确区域“三线一单”生态环境分区管控等环境准入要求、制定环评审批负面清单、有效落实</w:t>
      </w:r>
      <w:r>
        <w:rPr>
          <w:rFonts w:hint="eastAsia" w:ascii="仿宋_GB2312" w:eastAsia="仿宋_GB2312"/>
          <w:color w:val="auto"/>
          <w:highlight w:val="none"/>
          <w:lang w:eastAsia="zh-CN"/>
        </w:rPr>
        <w:t>规划</w:t>
      </w:r>
      <w:r>
        <w:rPr>
          <w:rFonts w:hint="eastAsia" w:ascii="仿宋_GB2312" w:eastAsia="仿宋_GB2312"/>
          <w:color w:val="auto"/>
          <w:highlight w:val="none"/>
        </w:rPr>
        <w:t>环评结论及其审查意见的县级以上</w:t>
      </w:r>
      <w:r>
        <w:rPr>
          <w:rFonts w:hint="default" w:ascii="仿宋_GB2312" w:eastAsia="仿宋_GB2312"/>
          <w:color w:val="auto"/>
          <w:highlight w:val="none"/>
          <w:lang w:val="en-US"/>
        </w:rPr>
        <w:t>人民</w:t>
      </w:r>
      <w:r>
        <w:rPr>
          <w:rFonts w:hint="eastAsia" w:ascii="仿宋_GB2312" w:eastAsia="仿宋_GB2312"/>
          <w:color w:val="auto"/>
          <w:highlight w:val="none"/>
        </w:rPr>
        <w:t>政府认定的产业园区（以下简称产业园区）。</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类型</w:t>
      </w:r>
      <w:r>
        <w:rPr>
          <w:rFonts w:hint="default" w:ascii="Times New Roman" w:hAnsi="Times New Roman" w:eastAsia="仿宋_GB2312" w:cs="Times New Roman"/>
          <w:color w:val="auto"/>
          <w:highlight w:val="none"/>
        </w:rPr>
        <w:t>II</w:t>
      </w:r>
      <w:r>
        <w:rPr>
          <w:rFonts w:hint="eastAsia" w:ascii="仿宋_GB2312" w:eastAsia="仿宋_GB2312"/>
          <w:color w:val="auto"/>
          <w:highlight w:val="none"/>
        </w:rPr>
        <w:t>：按照</w:t>
      </w:r>
      <w:r>
        <w:rPr>
          <w:rFonts w:hint="default" w:ascii="仿宋_GB2312" w:eastAsia="仿宋_GB2312"/>
          <w:color w:val="auto"/>
          <w:highlight w:val="none"/>
          <w:lang w:val="en-US"/>
        </w:rPr>
        <w:t>有关</w:t>
      </w:r>
      <w:r>
        <w:rPr>
          <w:rFonts w:hint="eastAsia" w:ascii="仿宋_GB2312" w:eastAsia="仿宋_GB2312"/>
          <w:color w:val="auto"/>
          <w:highlight w:val="none"/>
        </w:rPr>
        <w:t>规定开展环境影响评价区域评估并通过审查，且完成备案的开发区。</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三、实施期限</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hAnsi="仿宋_GB2312" w:eastAsia="仿宋_GB2312" w:cs="仿宋_GB2312"/>
          <w:color w:val="auto"/>
          <w:sz w:val="32"/>
          <w:szCs w:val="32"/>
        </w:rPr>
        <w:t>本细则试行时间自</w:t>
      </w:r>
      <w:r>
        <w:rPr>
          <w:rFonts w:hint="eastAsia" w:ascii="仿宋_GB2312" w:hAnsi="仿宋_GB2312" w:eastAsia="仿宋_GB2312" w:cs="仿宋_GB2312"/>
          <w:color w:val="auto"/>
          <w:sz w:val="32"/>
          <w:szCs w:val="32"/>
          <w:lang w:val="en-US" w:eastAsia="zh-CN"/>
        </w:rPr>
        <w:t>发布之日起</w:t>
      </w:r>
      <w:r>
        <w:rPr>
          <w:rFonts w:hint="eastAsia" w:ascii="仿宋_GB2312" w:hAnsi="仿宋_GB2312" w:eastAsia="仿宋_GB2312" w:cs="仿宋_GB2312"/>
          <w:color w:val="auto"/>
          <w:sz w:val="32"/>
          <w:szCs w:val="32"/>
        </w:rPr>
        <w:t>，</w:t>
      </w:r>
      <w:r>
        <w:rPr>
          <w:rFonts w:hint="eastAsia" w:ascii="仿宋_GB2312" w:eastAsia="仿宋_GB2312"/>
          <w:color w:val="auto"/>
          <w:highlight w:val="none"/>
        </w:rPr>
        <w:t>至2023年11月14日止。</w:t>
      </w:r>
      <w:r>
        <w:rPr>
          <w:rFonts w:hint="eastAsia" w:ascii="仿宋_GB2312" w:hAnsi="仿宋_GB2312" w:eastAsia="仿宋_GB2312" w:cs="仿宋_GB2312"/>
          <w:color w:val="auto"/>
          <w:sz w:val="32"/>
          <w:szCs w:val="32"/>
          <w:highlight w:val="none"/>
          <w:lang w:val="en-US" w:eastAsia="zh-CN"/>
        </w:rPr>
        <w:t>本细则</w:t>
      </w:r>
      <w:r>
        <w:rPr>
          <w:rFonts w:hint="eastAsia" w:ascii="仿宋_GB2312" w:eastAsia="仿宋_GB2312"/>
          <w:color w:val="auto"/>
          <w:highlight w:val="none"/>
          <w:lang w:val="en-US" w:eastAsia="zh-CN"/>
        </w:rPr>
        <w:t>试行</w:t>
      </w:r>
      <w:r>
        <w:rPr>
          <w:rFonts w:hint="eastAsia" w:ascii="仿宋_GB2312" w:eastAsia="仿宋_GB2312"/>
          <w:color w:val="auto"/>
          <w:highlight w:val="none"/>
        </w:rPr>
        <w:t>期间</w:t>
      </w:r>
      <w:r>
        <w:rPr>
          <w:rFonts w:hint="eastAsia" w:ascii="仿宋_GB2312" w:eastAsia="仿宋_GB2312"/>
          <w:color w:val="auto"/>
          <w:highlight w:val="none"/>
          <w:lang w:eastAsia="zh-CN"/>
        </w:rPr>
        <w:t>，</w:t>
      </w:r>
      <w:r>
        <w:rPr>
          <w:rFonts w:hint="eastAsia" w:ascii="仿宋_GB2312" w:eastAsia="仿宋_GB2312"/>
          <w:color w:val="auto"/>
          <w:highlight w:val="none"/>
        </w:rPr>
        <w:t>国家、省</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市</w:t>
      </w:r>
      <w:r>
        <w:rPr>
          <w:rFonts w:hint="eastAsia" w:ascii="仿宋_GB2312" w:eastAsia="仿宋_GB2312"/>
          <w:color w:val="auto"/>
          <w:highlight w:val="none"/>
        </w:rPr>
        <w:t>如出台或调整相关法律、法规和文件规定，从其规定。</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四、具体举措</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（一）降低环评文件等级</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“类型</w:t>
      </w:r>
      <w:r>
        <w:rPr>
          <w:rFonts w:hint="default" w:ascii="Times New Roman" w:hAnsi="Times New Roman" w:eastAsia="仿宋_GB2312" w:cs="Times New Roman"/>
          <w:color w:val="auto"/>
          <w:highlight w:val="none"/>
        </w:rPr>
        <w:t>I</w:t>
      </w:r>
      <w:r>
        <w:rPr>
          <w:rFonts w:hint="eastAsia" w:ascii="仿宋_GB2312" w:eastAsia="仿宋_GB2312"/>
          <w:color w:val="auto"/>
          <w:highlight w:val="none"/>
        </w:rPr>
        <w:t>”区域范围内，对符合环境准入要求</w:t>
      </w:r>
      <w:r>
        <w:rPr>
          <w:rFonts w:hint="default" w:ascii="仿宋_GB2312" w:eastAsia="仿宋_GB2312"/>
          <w:color w:val="auto"/>
          <w:highlight w:val="none"/>
          <w:lang w:val="en-US"/>
        </w:rPr>
        <w:t>且不在</w:t>
      </w:r>
      <w:r>
        <w:rPr>
          <w:rFonts w:hint="eastAsia" w:ascii="仿宋_GB2312" w:eastAsia="仿宋_GB2312"/>
          <w:color w:val="auto"/>
          <w:highlight w:val="none"/>
          <w:lang w:eastAsia="zh-CN"/>
        </w:rPr>
        <w:t>环评审批负面清单</w:t>
      </w:r>
      <w:r>
        <w:rPr>
          <w:rFonts w:hint="eastAsia" w:ascii="仿宋_GB2312" w:eastAsia="仿宋_GB2312"/>
          <w:color w:val="auto"/>
          <w:highlight w:val="none"/>
        </w:rPr>
        <w:t>的项目，按生态环境部《建设项目环境影响评价分类管理名录（2021版）》要求需要编制环境影响报告书的，可以编制环境影响报告表。</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（二）简化环评编制工作</w:t>
      </w:r>
    </w:p>
    <w:p>
      <w:pPr>
        <w:keepNext w:val="0"/>
        <w:keepLines w:val="0"/>
        <w:pageBreakBefore w:val="0"/>
        <w:widowControl w:val="0"/>
        <w:kinsoku/>
        <w:wordWrap/>
        <w:overflowPunct/>
        <w:topLinePunct w:val="0"/>
        <w:autoSpaceDE w:val="0"/>
        <w:autoSpaceDN w:val="0"/>
        <w:bidi w:val="0"/>
        <w:adjustRightInd/>
        <w:snapToGrid w:val="0"/>
        <w:spacing w:line="579" w:lineRule="exact"/>
        <w:ind w:left="0" w:leftChars="0" w:firstLine="632" w:firstLineChars="200"/>
        <w:textAlignment w:val="auto"/>
        <w:rPr>
          <w:rFonts w:hint="eastAsia" w:ascii="仿宋_GB2312" w:eastAsia="仿宋_GB2312"/>
          <w:color w:val="auto"/>
          <w:highlight w:val="none"/>
        </w:rPr>
      </w:pPr>
      <w:r>
        <w:rPr>
          <w:rFonts w:hint="eastAsia" w:ascii="仿宋_GB2312" w:eastAsia="仿宋_GB2312"/>
          <w:color w:val="auto"/>
          <w:highlight w:val="none"/>
        </w:rPr>
        <w:t>“类型</w:t>
      </w:r>
      <w:r>
        <w:rPr>
          <w:rFonts w:hint="default" w:ascii="Times New Roman" w:hAnsi="Times New Roman" w:eastAsia="仿宋_GB2312" w:cs="Times New Roman"/>
          <w:color w:val="auto"/>
          <w:highlight w:val="none"/>
        </w:rPr>
        <w:t>I</w:t>
      </w:r>
      <w:r>
        <w:rPr>
          <w:rFonts w:hint="eastAsia" w:ascii="仿宋_GB2312" w:eastAsia="仿宋_GB2312"/>
          <w:color w:val="auto"/>
          <w:highlight w:val="none"/>
        </w:rPr>
        <w:t>”区域范围内，根据规划环评结论和审查意见，项目环评可与规划环评共享环境现状、污染源调查等资料，并在相关章节中明确与规划环评的相符性分析。</w:t>
      </w:r>
    </w:p>
    <w:p>
      <w:pPr>
        <w:keepNext w:val="0"/>
        <w:keepLines w:val="0"/>
        <w:pageBreakBefore w:val="0"/>
        <w:widowControl w:val="0"/>
        <w:kinsoku/>
        <w:wordWrap/>
        <w:overflowPunct/>
        <w:topLinePunct w:val="0"/>
        <w:autoSpaceDE w:val="0"/>
        <w:autoSpaceDN w:val="0"/>
        <w:bidi w:val="0"/>
        <w:adjustRightInd/>
        <w:snapToGrid w:val="0"/>
        <w:spacing w:line="579" w:lineRule="exact"/>
        <w:ind w:left="0" w:leftChars="0" w:firstLine="632" w:firstLineChars="200"/>
        <w:textAlignment w:val="auto"/>
        <w:rPr>
          <w:rFonts w:hint="eastAsia" w:ascii="仿宋_GB2312" w:eastAsia="仿宋_GB2312"/>
          <w:color w:val="auto"/>
          <w:highlight w:val="none"/>
        </w:rPr>
      </w:pPr>
      <w:r>
        <w:rPr>
          <w:rFonts w:hint="eastAsia" w:ascii="仿宋_GB2312" w:eastAsia="仿宋_GB2312"/>
          <w:color w:val="auto"/>
          <w:highlight w:val="none"/>
        </w:rPr>
        <w:t>属于“类型</w:t>
      </w:r>
      <w:r>
        <w:rPr>
          <w:rFonts w:hint="default" w:ascii="Times New Roman" w:hAnsi="Times New Roman" w:eastAsia="仿宋_GB2312" w:cs="Times New Roman"/>
          <w:color w:val="auto"/>
          <w:highlight w:val="none"/>
        </w:rPr>
        <w:t>II</w:t>
      </w:r>
      <w:r>
        <w:rPr>
          <w:rFonts w:hint="eastAsia" w:ascii="仿宋_GB2312" w:eastAsia="仿宋_GB2312"/>
          <w:color w:val="auto"/>
          <w:highlight w:val="none"/>
        </w:rPr>
        <w:t>”的开发区，其开发建设规划环评报告书可以适当简化，相关内容和数据可以直接引用区域评估成果。其区域范围内的新建、改建、扩建项目的环境影响报告书可以适当简化，相关内容和数据可以直接引用区域评估成果。</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（三）</w:t>
      </w:r>
      <w:r>
        <w:rPr>
          <w:rFonts w:hint="eastAsia" w:ascii="楷体_GB2312" w:hAnsi="楷体_GB2312" w:eastAsia="楷体_GB2312" w:cs="楷体_GB2312"/>
          <w:color w:val="auto"/>
          <w:highlight w:val="none"/>
          <w:lang w:val="en-US" w:eastAsia="zh-CN"/>
        </w:rPr>
        <w:t>简化</w:t>
      </w:r>
      <w:r>
        <w:rPr>
          <w:rFonts w:hint="eastAsia" w:ascii="楷体_GB2312" w:hAnsi="楷体_GB2312" w:eastAsia="楷体_GB2312" w:cs="楷体_GB2312"/>
          <w:color w:val="auto"/>
          <w:highlight w:val="none"/>
        </w:rPr>
        <w:t>公众参与</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属于“类型</w:t>
      </w:r>
      <w:r>
        <w:rPr>
          <w:rFonts w:hint="default" w:ascii="Times New Roman" w:hAnsi="Times New Roman" w:eastAsia="仿宋_GB2312" w:cs="Times New Roman"/>
          <w:color w:val="auto"/>
          <w:highlight w:val="none"/>
        </w:rPr>
        <w:t>I</w:t>
      </w:r>
      <w:r>
        <w:rPr>
          <w:rFonts w:hint="eastAsia" w:ascii="仿宋_GB2312" w:eastAsia="仿宋_GB2312"/>
          <w:color w:val="auto"/>
          <w:highlight w:val="none"/>
        </w:rPr>
        <w:t>”区域内的项目可简化公众参与，建设单位在环评编制阶段的公示可合并成1次</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其中</w:t>
      </w:r>
      <w:r>
        <w:rPr>
          <w:rFonts w:hint="eastAsia" w:ascii="仿宋_GB2312" w:eastAsia="仿宋_GB2312"/>
          <w:color w:val="auto"/>
          <w:highlight w:val="none"/>
        </w:rPr>
        <w:t>报告书公示时间不少于10个工作日。</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（四）优化排放总量管理</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仿宋_GB2312" w:eastAsia="仿宋_GB2312"/>
          <w:color w:val="auto"/>
          <w:highlight w:val="none"/>
        </w:rPr>
        <w:t>“类型</w:t>
      </w:r>
      <w:r>
        <w:rPr>
          <w:rFonts w:hint="default" w:ascii="Times New Roman" w:hAnsi="Times New Roman" w:eastAsia="仿宋_GB2312" w:cs="Times New Roman"/>
          <w:color w:val="auto"/>
          <w:highlight w:val="none"/>
        </w:rPr>
        <w:t>I</w:t>
      </w:r>
      <w:r>
        <w:rPr>
          <w:rFonts w:hint="eastAsia" w:ascii="仿宋_GB2312" w:eastAsia="仿宋_GB2312"/>
          <w:color w:val="auto"/>
          <w:highlight w:val="none"/>
        </w:rPr>
        <w:t>”区域范围内，对需增加重点污染物排放量且不属于“两高”范围的建设项目，可由建设单位向生态环境主管部门提出重点污染物排放总量指标申请，并承诺在项目投产前取得污染物排放总量指标和削减平衡意见，生态环境主管部门可</w:t>
      </w:r>
      <w:r>
        <w:rPr>
          <w:rFonts w:hint="default" w:ascii="仿宋_GB2312" w:eastAsia="仿宋_GB2312"/>
          <w:color w:val="auto"/>
          <w:highlight w:val="none"/>
          <w:lang w:val="en-US"/>
        </w:rPr>
        <w:t>根据有关承诺</w:t>
      </w:r>
      <w:r>
        <w:rPr>
          <w:rFonts w:hint="eastAsia" w:ascii="仿宋_GB2312" w:eastAsia="仿宋_GB2312"/>
          <w:color w:val="auto"/>
          <w:highlight w:val="none"/>
          <w:lang w:val="en-US" w:eastAsia="zh-CN"/>
        </w:rPr>
        <w:t>，</w:t>
      </w:r>
      <w:r>
        <w:rPr>
          <w:rFonts w:hint="eastAsia" w:ascii="仿宋_GB2312" w:eastAsia="仿宋_GB2312"/>
          <w:color w:val="auto"/>
          <w:highlight w:val="none"/>
        </w:rPr>
        <w:t>在</w:t>
      </w:r>
      <w:r>
        <w:rPr>
          <w:rFonts w:hint="default" w:ascii="仿宋_GB2312" w:eastAsia="仿宋_GB2312"/>
          <w:color w:val="auto"/>
          <w:highlight w:val="none"/>
          <w:lang w:val="en-US"/>
        </w:rPr>
        <w:t>暂</w:t>
      </w:r>
      <w:r>
        <w:rPr>
          <w:rFonts w:hint="eastAsia" w:ascii="仿宋_GB2312" w:eastAsia="仿宋_GB2312"/>
          <w:color w:val="auto"/>
          <w:highlight w:val="none"/>
        </w:rPr>
        <w:t>未取得重点污染物排放总量指标和削减平衡意见的情形下，出具批复</w:t>
      </w:r>
      <w:r>
        <w:rPr>
          <w:rFonts w:hint="default" w:ascii="仿宋_GB2312" w:eastAsia="仿宋_GB2312"/>
          <w:color w:val="auto"/>
          <w:highlight w:val="none"/>
          <w:lang w:val="en-US"/>
        </w:rPr>
        <w:t>意见</w:t>
      </w:r>
      <w:r>
        <w:rPr>
          <w:rFonts w:hint="eastAsia" w:ascii="仿宋_GB2312" w:eastAsia="仿宋_GB2312"/>
          <w:color w:val="auto"/>
          <w:highlight w:val="none"/>
        </w:rPr>
        <w:t>。对未取得或落实重点污染物排放总量削减平衡意见的项目，不予核发排污许可证，项目不得投入生产。</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五、有关要求</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ascii="仿宋_GB2312" w:eastAsia="仿宋_GB2312"/>
          <w:color w:val="auto"/>
          <w:highlight w:val="none"/>
        </w:rPr>
      </w:pPr>
      <w:r>
        <w:rPr>
          <w:rFonts w:hint="eastAsia" w:ascii="楷体_GB2312" w:hAnsi="楷体_GB2312" w:eastAsia="楷体_GB2312" w:cs="楷体_GB2312"/>
          <w:color w:val="auto"/>
          <w:highlight w:val="none"/>
          <w:lang w:eastAsia="zh-CN"/>
        </w:rPr>
        <w:t>（</w:t>
      </w:r>
      <w:r>
        <w:rPr>
          <w:rFonts w:hint="eastAsia" w:ascii="楷体_GB2312" w:hAnsi="楷体_GB2312" w:eastAsia="楷体_GB2312" w:cs="楷体_GB2312"/>
          <w:color w:val="auto"/>
          <w:highlight w:val="none"/>
        </w:rPr>
        <w:t>一</w:t>
      </w:r>
      <w:r>
        <w:rPr>
          <w:rFonts w:hint="eastAsia" w:ascii="楷体_GB2312" w:hAnsi="楷体_GB2312" w:eastAsia="楷体_GB2312" w:cs="楷体_GB2312"/>
          <w:color w:val="auto"/>
          <w:highlight w:val="none"/>
          <w:lang w:eastAsia="zh-CN"/>
        </w:rPr>
        <w:t>）</w:t>
      </w:r>
      <w:r>
        <w:rPr>
          <w:rFonts w:hint="eastAsia" w:ascii="楷体_GB2312" w:hAnsi="楷体_GB2312" w:eastAsia="楷体_GB2312" w:cs="楷体_GB2312"/>
          <w:color w:val="auto"/>
          <w:highlight w:val="none"/>
        </w:rPr>
        <w:t>强化主体责任。</w:t>
      </w:r>
      <w:r>
        <w:rPr>
          <w:rFonts w:hint="eastAsia" w:ascii="仿宋_GB2312" w:eastAsia="仿宋_GB2312"/>
          <w:color w:val="auto"/>
          <w:highlight w:val="none"/>
        </w:rPr>
        <w:t>申报联动的产业园区管理部门应当强化主体责任，积极落实产业园区规划环评的编制工作，定期开展规划环评落实情况的跟踪自查，指导区内企业落实联动措施，切实推进改革实施应用。</w:t>
      </w:r>
    </w:p>
    <w:p>
      <w:pPr>
        <w:keepNext w:val="0"/>
        <w:keepLines w:val="0"/>
        <w:pageBreakBefore w:val="0"/>
        <w:widowControl w:val="0"/>
        <w:kinsoku/>
        <w:wordWrap/>
        <w:overflowPunct/>
        <w:topLinePunct w:val="0"/>
        <w:autoSpaceDE w:val="0"/>
        <w:autoSpaceDN w:val="0"/>
        <w:bidi w:val="0"/>
        <w:adjustRightInd/>
        <w:snapToGrid w:val="0"/>
        <w:spacing w:line="579" w:lineRule="exact"/>
        <w:ind w:firstLine="624"/>
        <w:textAlignment w:val="auto"/>
        <w:rPr>
          <w:rFonts w:hint="eastAsia"/>
          <w:b/>
          <w:color w:val="auto"/>
          <w:highlight w:val="none"/>
        </w:rPr>
      </w:pPr>
      <w:r>
        <w:rPr>
          <w:rFonts w:hint="eastAsia" w:ascii="楷体_GB2312" w:hAnsi="楷体_GB2312" w:eastAsia="楷体_GB2312" w:cs="楷体_GB2312"/>
          <w:color w:val="auto"/>
          <w:highlight w:val="none"/>
          <w:lang w:eastAsia="zh-CN"/>
        </w:rPr>
        <w:t>（</w:t>
      </w:r>
      <w:r>
        <w:rPr>
          <w:rFonts w:hint="eastAsia" w:ascii="楷体_GB2312" w:hAnsi="楷体_GB2312" w:eastAsia="楷体_GB2312" w:cs="楷体_GB2312"/>
          <w:color w:val="auto"/>
          <w:highlight w:val="none"/>
        </w:rPr>
        <w:t>二</w:t>
      </w:r>
      <w:r>
        <w:rPr>
          <w:rFonts w:hint="eastAsia" w:ascii="楷体_GB2312" w:hAnsi="楷体_GB2312" w:eastAsia="楷体_GB2312" w:cs="楷体_GB2312"/>
          <w:color w:val="auto"/>
          <w:highlight w:val="none"/>
          <w:lang w:eastAsia="zh-CN"/>
        </w:rPr>
        <w:t>）</w:t>
      </w:r>
      <w:r>
        <w:rPr>
          <w:rFonts w:hint="eastAsia" w:ascii="楷体_GB2312" w:hAnsi="楷体_GB2312" w:eastAsia="楷体_GB2312" w:cs="楷体_GB2312"/>
          <w:color w:val="auto"/>
          <w:highlight w:val="none"/>
        </w:rPr>
        <w:t>强化帮扶指导。</w:t>
      </w:r>
      <w:r>
        <w:rPr>
          <w:rFonts w:hint="eastAsia" w:ascii="仿宋_GB2312" w:eastAsia="仿宋_GB2312"/>
          <w:color w:val="auto"/>
          <w:highlight w:val="none"/>
        </w:rPr>
        <w:t>生态环境主管部门应加强联动区域事中事后监管，积极开展指导帮扶，督促产业园区和入园建设项目切实落实规划环评相关要求，提升规划环评效力，保障改革工作顺利实施。</w:t>
      </w:r>
    </w:p>
    <w:sectPr>
      <w:headerReference r:id="rId7" w:type="first"/>
      <w:headerReference r:id="rId5" w:type="default"/>
      <w:footerReference r:id="rId8" w:type="default"/>
      <w:headerReference r:id="rId6" w:type="even"/>
      <w:footerReference r:id="rId9" w:type="even"/>
      <w:pgSz w:w="11906" w:h="16838"/>
      <w:pgMar w:top="2098" w:right="1474" w:bottom="1984" w:left="1587" w:header="720" w:footer="1474" w:gutter="0"/>
      <w:paperSrc w:first="15" w:other="15"/>
      <w:pgNumType w:fmt="decimal"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7ACFA2-66A1-4316-A938-1F305054CC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16FC1B3-3FC6-4656-87BB-C63D4DB1D763}"/>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0CA98228-E68C-4BAE-8CC9-0FFC1B1A499B}"/>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2010609010000010101"/>
    <w:charset w:val="86"/>
    <w:family w:val="modern"/>
    <w:pitch w:val="default"/>
    <w:sig w:usb0="00000000" w:usb1="00000000" w:usb2="00000010" w:usb3="00000000" w:csb0="00040000" w:csb1="00000000"/>
  </w:font>
  <w:font w:name="汉鼎简黑体">
    <w:altName w:val="黑体"/>
    <w:panose1 w:val="02010609000000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F7AB6541-1E92-40A0-AD38-FD14C0724CD9}"/>
  </w:font>
  <w:font w:name="楷体_GB2312">
    <w:panose1 w:val="02010609030101010101"/>
    <w:charset w:val="86"/>
    <w:family w:val="auto"/>
    <w:pitch w:val="default"/>
    <w:sig w:usb0="00000001" w:usb1="080E0000" w:usb2="00000000" w:usb3="00000000" w:csb0="00040000" w:csb1="00000000"/>
    <w:embedRegular r:id="rId5" w:fontKey="{20021341-2204-4629-99F2-8645F899F3D8}"/>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rPr>
        <w:rFonts w:hint="eastAsia"/>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ind w:left="320" w:leftChars="100" w:right="320" w:rightChars="100"/>
                            <w:jc w:val="right"/>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Fonts w:hint="eastAsia"/>
                            </w:rPr>
                            <w:t xml:space="preserve"> </w:t>
                          </w:r>
                          <w:r>
                            <w:rPr>
                              <w:rFonts w:hint="eastAsia"/>
                            </w:rPr>
                            <w:t>—</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EpX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PRKV50QEAAJ4DAAAOAAAAAAAAAAEAIAAAAB8BAABk&#10;cnMvZTJvRG9jLnhtbFBLBQYAAAAABgAGAFkBAABiBQAAAAA=&#10;">
              <v:fill on="f" focussize="0,0"/>
              <v:stroke on="f"/>
              <v:imagedata o:title=""/>
              <o:lock v:ext="edit" aspectratio="f"/>
              <v:textbox inset="0mm,0mm,0mm,0mm" style="mso-fit-shape-to-text:t;">
                <w:txbxContent>
                  <w:p>
                    <w:pPr>
                      <w:pStyle w:val="5"/>
                      <w:ind w:left="320" w:leftChars="100" w:right="320" w:rightChars="100"/>
                      <w:jc w:val="right"/>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Fonts w:hint="eastAsia"/>
                      </w:rPr>
                      <w:t xml:space="preserve"> </w:t>
                    </w:r>
                    <w:r>
                      <w:rPr>
                        <w:rFonts w:hint="eastAsia"/>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both"/>
      <w:rPr>
        <w:rFonts w:hint="eastAsia"/>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ind w:left="320" w:leftChars="100" w:right="320" w:rightChars="100"/>
                            <w:jc w:val="both"/>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2</w:t>
                          </w:r>
                          <w:r>
                            <w:rPr>
                              <w:rStyle w:val="10"/>
                            </w:rPr>
                            <w:fldChar w:fldCharType="end"/>
                          </w:r>
                          <w:r>
                            <w:rPr>
                              <w:rStyle w:val="10"/>
                              <w:rFonts w:hint="eastAsia"/>
                            </w:rPr>
                            <w:t xml:space="preserve"> </w:t>
                          </w:r>
                          <w:r>
                            <w:rPr>
                              <w:rFonts w:hint="eastAsia"/>
                            </w:rPr>
                            <w:t>—</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5"/>
                      <w:ind w:left="320" w:leftChars="100" w:right="320" w:rightChars="100"/>
                      <w:jc w:val="both"/>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2</w:t>
                    </w:r>
                    <w:r>
                      <w:rPr>
                        <w:rStyle w:val="10"/>
                      </w:rPr>
                      <w:fldChar w:fldCharType="end"/>
                    </w:r>
                    <w:r>
                      <w:rPr>
                        <w:rStyle w:val="10"/>
                        <w:rFonts w:hint="eastAsia"/>
                      </w:rPr>
                      <w:t xml:space="preserve"> </w:t>
                    </w:r>
                    <w:r>
                      <w:rPr>
                        <w:rFonts w:hint="eastAsia"/>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3C58"/>
    <w:rsid w:val="07634B9C"/>
    <w:rsid w:val="17D518D1"/>
    <w:rsid w:val="25897289"/>
    <w:rsid w:val="2AB52358"/>
    <w:rsid w:val="3964699A"/>
    <w:rsid w:val="3FFF64AB"/>
    <w:rsid w:val="423A082F"/>
    <w:rsid w:val="485A6CAB"/>
    <w:rsid w:val="4A73574C"/>
    <w:rsid w:val="5C460AAF"/>
    <w:rsid w:val="61083E2C"/>
    <w:rsid w:val="78EA5A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lang w:val="en-US" w:eastAsia="zh-CN" w:bidi="ar-SA"/>
    </w:rPr>
  </w:style>
  <w:style w:type="paragraph" w:styleId="4">
    <w:name w:val="Normal Indent"/>
    <w:basedOn w:val="1"/>
    <w:next w:val="1"/>
    <w:qFormat/>
    <w:uiPriority w:val="0"/>
    <w:pPr>
      <w:adjustRightInd w:val="0"/>
      <w:snapToGrid/>
      <w:ind w:firstLine="0"/>
      <w:jc w:val="left"/>
    </w:pPr>
    <w:rPr>
      <w:spacing w:val="-25"/>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table" w:styleId="8">
    <w:name w:val="Table Grid"/>
    <w:basedOn w:val="7"/>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2">
    <w:name w:val="红线"/>
    <w:basedOn w:val="3"/>
    <w:qFormat/>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3">
    <w:name w:val="标题2"/>
    <w:basedOn w:val="1"/>
    <w:next w:val="1"/>
    <w:qFormat/>
    <w:uiPriority w:val="0"/>
    <w:pPr>
      <w:ind w:firstLine="0"/>
      <w:jc w:val="center"/>
    </w:pPr>
    <w:rPr>
      <w:rFonts w:eastAsia="方正楷体_GBK"/>
    </w:rPr>
  </w:style>
  <w:style w:type="paragraph" w:customStyle="1" w:styleId="14">
    <w:name w:val="标题3"/>
    <w:basedOn w:val="1"/>
    <w:next w:val="1"/>
    <w:qFormat/>
    <w:uiPriority w:val="0"/>
    <w:rPr>
      <w:rFonts w:eastAsia="方正黑体_GBK"/>
    </w:rPr>
  </w:style>
  <w:style w:type="paragraph" w:customStyle="1" w:styleId="15">
    <w:name w:val="密级"/>
    <w:basedOn w:val="1"/>
    <w:qFormat/>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16">
    <w:name w:val="主题词"/>
    <w:basedOn w:val="1"/>
    <w:qFormat/>
    <w:uiPriority w:val="0"/>
    <w:pPr>
      <w:autoSpaceDE w:val="0"/>
      <w:autoSpaceDN w:val="0"/>
      <w:adjustRightInd w:val="0"/>
      <w:snapToGrid/>
      <w:spacing w:line="240" w:lineRule="atLeast"/>
      <w:ind w:firstLine="0"/>
      <w:jc w:val="left"/>
    </w:pPr>
    <w:rPr>
      <w:rFonts w:ascii="方正黑体_GBK" w:eastAsia="方正黑体_GBK"/>
    </w:rPr>
  </w:style>
  <w:style w:type="paragraph" w:customStyle="1" w:styleId="17">
    <w:name w:val="抄送栏"/>
    <w:basedOn w:val="1"/>
    <w:qFormat/>
    <w:uiPriority w:val="0"/>
    <w:pPr>
      <w:adjustRightInd w:val="0"/>
      <w:snapToGrid/>
      <w:spacing w:line="454" w:lineRule="atLeast"/>
      <w:ind w:left="1310" w:right="357" w:hanging="953"/>
    </w:pPr>
  </w:style>
  <w:style w:type="paragraph" w:customStyle="1" w:styleId="18">
    <w:name w:val="线型"/>
    <w:basedOn w:val="17"/>
    <w:qFormat/>
    <w:uiPriority w:val="0"/>
    <w:pPr>
      <w:spacing w:line="240" w:lineRule="auto"/>
      <w:ind w:left="0" w:firstLine="0"/>
      <w:jc w:val="center"/>
    </w:pPr>
    <w:rPr>
      <w:sz w:val="21"/>
    </w:rPr>
  </w:style>
  <w:style w:type="paragraph" w:customStyle="1" w:styleId="19">
    <w:name w:val="印发栏"/>
    <w:basedOn w:val="4"/>
    <w:qFormat/>
    <w:uiPriority w:val="0"/>
    <w:pPr>
      <w:tabs>
        <w:tab w:val="right" w:pos="8465"/>
      </w:tabs>
      <w:spacing w:line="454" w:lineRule="atLeast"/>
      <w:ind w:left="357" w:right="357"/>
    </w:pPr>
    <w:rPr>
      <w:spacing w:val="0"/>
    </w:rPr>
  </w:style>
  <w:style w:type="paragraph" w:customStyle="1" w:styleId="20">
    <w:name w:val="印数"/>
    <w:basedOn w:val="19"/>
    <w:qFormat/>
    <w:uiPriority w:val="0"/>
    <w:pPr>
      <w:spacing w:line="400" w:lineRule="atLeast"/>
      <w:ind w:left="0" w:right="0"/>
      <w:jc w:val="right"/>
    </w:pPr>
  </w:style>
  <w:style w:type="paragraph" w:customStyle="1" w:styleId="21">
    <w:name w:val="附件栏"/>
    <w:basedOn w:val="1"/>
    <w:qFormat/>
    <w:uiPriority w:val="0"/>
  </w:style>
  <w:style w:type="paragraph" w:customStyle="1" w:styleId="22">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3">
    <w:name w:val="紧急程度"/>
    <w:basedOn w:val="15"/>
    <w:qFormat/>
    <w:uiPriority w:val="0"/>
    <w:pPr>
      <w:spacing w:line="397" w:lineRule="atLeast"/>
    </w:pPr>
    <w:rPr>
      <w:rFonts w:ascii="汉鼎简黑体" w:hAnsi="汉鼎简黑体" w:eastAsia="汉鼎简黑体"/>
      <w:sz w:val="32"/>
    </w:rPr>
  </w:style>
  <w:style w:type="paragraph" w:customStyle="1" w:styleId="24">
    <w:name w:val="样式 主题词 + 段后: 8.85 磅 行距: 固定值 26 磅"/>
    <w:basedOn w:val="16"/>
    <w:qFormat/>
    <w:uiPriority w:val="0"/>
    <w:pPr>
      <w:spacing w:after="177" w:line="520" w:lineRule="exact"/>
    </w:pPr>
    <w:rPr>
      <w:rFonts w:cs="宋体"/>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吴政发上行文</Template>
  <Company>wyk</Company>
  <Pages>1</Pages>
  <Words>1283</Words>
  <Characters>1308</Characters>
  <Paragraphs>36</Paragraphs>
  <TotalTime>16</TotalTime>
  <ScaleCrop>false</ScaleCrop>
  <LinksUpToDate>false</LinksUpToDate>
  <CharactersWithSpaces>1316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2021-06-22T05:17:00Z</dcterms:created>
  <dc:creator>Administrator</dc:creator>
  <cp:lastModifiedBy>Administrator</cp:lastModifiedBy>
  <cp:lastPrinted>2021-12-23T00:50:00Z</cp:lastPrinted>
  <dcterms:modified xsi:type="dcterms:W3CDTF">2021-12-23T07:27:41Z</dcterms:modified>
  <dc:title>苏府呈（上行）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585BEFC9294C47C3A51677E931084173</vt:lpwstr>
  </property>
</Properties>
</file>